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楷体_GB2312"/>
          <w:b/>
          <w:bCs/>
          <w:color w:val="auto"/>
          <w:kern w:val="0"/>
          <w:sz w:val="48"/>
          <w:szCs w:val="48"/>
        </w:rPr>
      </w:pPr>
    </w:p>
    <w:p>
      <w:pPr>
        <w:pStyle w:val="2"/>
        <w:rPr>
          <w:color w:val="auto"/>
        </w:rPr>
      </w:pPr>
    </w:p>
    <w:p>
      <w:pPr>
        <w:spacing w:line="560" w:lineRule="exact"/>
        <w:jc w:val="center"/>
        <w:rPr>
          <w:rFonts w:ascii="宋体" w:hAnsi="宋体" w:cs="楷体_GB2312"/>
          <w:b/>
          <w:bCs/>
          <w:color w:val="auto"/>
          <w:kern w:val="0"/>
          <w:sz w:val="48"/>
          <w:szCs w:val="48"/>
        </w:rPr>
      </w:pPr>
    </w:p>
    <w:p>
      <w:pPr>
        <w:pStyle w:val="2"/>
        <w:rPr>
          <w:color w:val="auto"/>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安康市“十四五”科技创新发展规划</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z w:val="44"/>
          <w:szCs w:val="44"/>
        </w:rPr>
        <w:t>2021</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2025年</w:t>
      </w:r>
      <w:r>
        <w:rPr>
          <w:rFonts w:hint="eastAsia" w:ascii="方正小标宋简体" w:hAnsi="方正小标宋简体" w:eastAsia="方正小标宋简体" w:cs="方正小标宋简体"/>
          <w:color w:val="auto"/>
          <w:sz w:val="44"/>
          <w:szCs w:val="44"/>
          <w:lang w:val="en-US" w:eastAsia="zh-CN"/>
        </w:rPr>
        <w:t>]</w:t>
      </w:r>
    </w:p>
    <w:p>
      <w:pPr>
        <w:widowControl/>
        <w:spacing w:before="100" w:beforeAutospacing="1" w:after="100" w:afterAutospacing="1" w:line="560" w:lineRule="exact"/>
        <w:jc w:val="center"/>
        <w:rPr>
          <w:rFonts w:ascii="宋体" w:hAnsi="宋体" w:cs="楷体_GB2312"/>
          <w:b/>
          <w:bCs/>
          <w:color w:val="auto"/>
          <w:kern w:val="0"/>
          <w:sz w:val="28"/>
          <w:szCs w:val="28"/>
        </w:rPr>
      </w:pPr>
    </w:p>
    <w:p>
      <w:pPr>
        <w:widowControl/>
        <w:spacing w:before="100" w:beforeAutospacing="1" w:after="100" w:afterAutospacing="1" w:line="560" w:lineRule="exact"/>
        <w:jc w:val="center"/>
        <w:rPr>
          <w:rFonts w:ascii="宋体" w:hAnsi="宋体" w:cs="楷体_GB2312"/>
          <w:b/>
          <w:bCs/>
          <w:color w:val="auto"/>
          <w:kern w:val="0"/>
          <w:sz w:val="28"/>
          <w:szCs w:val="28"/>
        </w:rPr>
      </w:pPr>
    </w:p>
    <w:p>
      <w:pPr>
        <w:widowControl/>
        <w:spacing w:before="100" w:beforeAutospacing="1" w:after="100" w:afterAutospacing="1" w:line="560" w:lineRule="exact"/>
        <w:jc w:val="center"/>
        <w:rPr>
          <w:rFonts w:ascii="宋体" w:hAnsi="宋体" w:cs="楷体_GB2312"/>
          <w:b/>
          <w:bCs/>
          <w:color w:val="auto"/>
          <w:kern w:val="0"/>
          <w:sz w:val="28"/>
          <w:szCs w:val="28"/>
        </w:rPr>
      </w:pPr>
    </w:p>
    <w:p>
      <w:pPr>
        <w:widowControl/>
        <w:spacing w:before="100" w:beforeAutospacing="1" w:after="100" w:afterAutospacing="1" w:line="560" w:lineRule="exact"/>
        <w:jc w:val="center"/>
        <w:rPr>
          <w:rFonts w:ascii="宋体" w:hAnsi="宋体" w:cs="楷体_GB2312"/>
          <w:b/>
          <w:bCs/>
          <w:color w:val="auto"/>
          <w:kern w:val="0"/>
          <w:sz w:val="28"/>
          <w:szCs w:val="28"/>
        </w:rPr>
      </w:pPr>
    </w:p>
    <w:p>
      <w:pPr>
        <w:pStyle w:val="2"/>
      </w:pPr>
    </w:p>
    <w:p>
      <w:pPr>
        <w:widowControl/>
        <w:spacing w:before="100" w:beforeAutospacing="1" w:after="100" w:afterAutospacing="1" w:line="560" w:lineRule="exact"/>
        <w:jc w:val="center"/>
        <w:rPr>
          <w:rFonts w:ascii="宋体" w:hAnsi="宋体" w:cs="楷体_GB2312"/>
          <w:b/>
          <w:bCs/>
          <w:color w:val="auto"/>
          <w:kern w:val="0"/>
          <w:sz w:val="28"/>
          <w:szCs w:val="28"/>
        </w:rPr>
      </w:pPr>
    </w:p>
    <w:p>
      <w:pPr>
        <w:widowControl/>
        <w:spacing w:before="100" w:beforeAutospacing="1" w:after="100" w:afterAutospacing="1" w:line="560" w:lineRule="exact"/>
        <w:jc w:val="center"/>
        <w:rPr>
          <w:rFonts w:ascii="宋体" w:hAnsi="宋体" w:cs="楷体_GB2312"/>
          <w:b/>
          <w:bCs/>
          <w:color w:val="auto"/>
          <w:kern w:val="0"/>
          <w:sz w:val="28"/>
          <w:szCs w:val="28"/>
        </w:rPr>
      </w:pPr>
    </w:p>
    <w:p>
      <w:pPr>
        <w:widowControl/>
        <w:spacing w:before="100" w:beforeAutospacing="1" w:after="100" w:afterAutospacing="1" w:line="560" w:lineRule="exact"/>
        <w:jc w:val="center"/>
        <w:rPr>
          <w:rFonts w:ascii="宋体" w:hAnsi="宋体" w:cs="楷体_GB2312"/>
          <w:b/>
          <w:bCs/>
          <w:color w:val="auto"/>
          <w:kern w:val="0"/>
          <w:sz w:val="28"/>
          <w:szCs w:val="28"/>
        </w:rPr>
      </w:pPr>
    </w:p>
    <w:p>
      <w:pPr>
        <w:widowControl/>
        <w:spacing w:before="100" w:beforeAutospacing="1" w:after="100" w:afterAutospacing="1" w:line="560" w:lineRule="exact"/>
        <w:jc w:val="center"/>
        <w:rPr>
          <w:rFonts w:ascii="宋体" w:hAnsi="宋体" w:cs="楷体_GB2312"/>
          <w:b/>
          <w:bCs/>
          <w:color w:val="auto"/>
          <w:kern w:val="0"/>
          <w:sz w:val="28"/>
          <w:szCs w:val="28"/>
        </w:rPr>
      </w:pPr>
    </w:p>
    <w:p>
      <w:pPr>
        <w:spacing w:line="560" w:lineRule="exact"/>
        <w:jc w:val="center"/>
        <w:rPr>
          <w:rFonts w:eastAsia="楷体"/>
          <w:color w:val="auto"/>
          <w:szCs w:val="32"/>
        </w:rPr>
      </w:pPr>
      <w:r>
        <w:rPr>
          <w:rFonts w:hint="eastAsia" w:eastAsia="楷体"/>
          <w:color w:val="auto"/>
          <w:szCs w:val="32"/>
        </w:rPr>
        <w:t>安康市科学技术局</w:t>
      </w:r>
    </w:p>
    <w:p>
      <w:pPr>
        <w:pStyle w:val="3"/>
        <w:spacing w:after="312" w:line="560" w:lineRule="exact"/>
        <w:rPr>
          <w:b w:val="0"/>
          <w:bCs w:val="0"/>
          <w:color w:val="auto"/>
          <w:kern w:val="2"/>
          <w:szCs w:val="32"/>
        </w:rPr>
      </w:pPr>
      <w:r>
        <w:rPr>
          <w:rFonts w:cs="宋体" w:asciiTheme="minorEastAsia" w:hAnsiTheme="minorEastAsia" w:eastAsiaTheme="minorEastAsia"/>
          <w:color w:val="auto"/>
          <w:kern w:val="0"/>
          <w:szCs w:val="32"/>
          <w:shd w:val="clear" w:color="auto" w:fill="FFFFFF"/>
        </w:rPr>
        <w:br w:type="page"/>
      </w:r>
      <w:bookmarkStart w:id="0" w:name="_Toc5054"/>
      <w:r>
        <w:rPr>
          <w:rFonts w:hint="eastAsia"/>
          <w:b w:val="0"/>
          <w:bCs w:val="0"/>
          <w:color w:val="auto"/>
          <w:kern w:val="2"/>
          <w:szCs w:val="32"/>
        </w:rPr>
        <w:t>前 言</w:t>
      </w:r>
      <w:bookmarkEnd w:id="0"/>
    </w:p>
    <w:p>
      <w:pPr>
        <w:spacing w:line="560" w:lineRule="exact"/>
        <w:ind w:firstLine="640" w:firstLineChars="200"/>
        <w:rPr>
          <w:rFonts w:hint="eastAsia" w:ascii="仿宋_GB2312" w:hAnsi="仿宋_GB2312" w:eastAsia="仿宋_GB2312" w:cs="仿宋_GB2312"/>
          <w:color w:val="auto"/>
          <w:szCs w:val="32"/>
        </w:rPr>
      </w:pPr>
      <w:r>
        <w:rPr>
          <w:rFonts w:hint="eastAsia" w:eastAsia="仿宋_GB2312"/>
          <w:color w:val="auto"/>
          <w:szCs w:val="32"/>
        </w:rPr>
        <w:t>“十四五”时期</w:t>
      </w:r>
      <w:r>
        <w:rPr>
          <w:rFonts w:hint="eastAsia" w:ascii="仿宋_GB2312" w:hAnsi="仿宋_GB2312" w:eastAsia="仿宋_GB2312" w:cs="仿宋_GB2312"/>
          <w:color w:val="auto"/>
          <w:szCs w:val="32"/>
        </w:rPr>
        <w:t>（2021</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2025年）是我国由全面建成小康社会向基本实现社会主义现代化迈进的重要战略机遇期，是我市坚持“发展为要、创新为先、民生为本，生态立市、开放兴市、产业强市”发展路径，深入实施创新驱动发展战略，创建国家创新型城市，打造秦巴区域创新高地，实现动能转换升级和绿色发展崛起的关键五年。为更好应对新一轮科技革命和产业革命的重大机遇和挑战，适应我市科技创新发展的新阶段、新形势、新任务、新要求，贯彻落实《中共中央关于制定国民经济和社会发展第十四个五年规划和二〇三五年远景目标的建议》精神，根据《国家创新驱动发展战略纲要》《陕西省国民经济和社会发展第十四个五年规划和二〇三五年远景目标纲要》《陕西省“十四五”科技创新发展规划》《安康市国民经济和社会发展第十四个五年规划纲要和二〇三五年远景目标纲要》，结合我市科技创新发展实际，编制本规划。规划基期为2020年，规划年限为2021年</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2025年。</w:t>
      </w:r>
    </w:p>
    <w:p>
      <w:pPr>
        <w:spacing w:line="560" w:lineRule="exact"/>
        <w:ind w:firstLine="640" w:firstLineChars="200"/>
        <w:rPr>
          <w:rFonts w:eastAsia="仿宋_GB2312"/>
          <w:color w:val="auto"/>
          <w:szCs w:val="32"/>
        </w:rPr>
      </w:pPr>
      <w:r>
        <w:rPr>
          <w:rFonts w:hint="eastAsia" w:eastAsia="仿宋_GB2312"/>
          <w:color w:val="auto"/>
          <w:szCs w:val="32"/>
        </w:rPr>
        <w:br w:type="page"/>
      </w:r>
    </w:p>
    <w:p>
      <w:pPr>
        <w:pStyle w:val="42"/>
        <w:spacing w:before="240" w:afterLines="0" w:line="560" w:lineRule="exact"/>
        <w:jc w:val="center"/>
        <w:rPr>
          <w:rStyle w:val="30"/>
          <w:rFonts w:ascii="黑体" w:hAnsi="黑体" w:cs="黑体"/>
          <w:color w:val="auto"/>
          <w:sz w:val="32"/>
          <w:szCs w:val="32"/>
        </w:rPr>
      </w:pPr>
      <w:r>
        <w:rPr>
          <w:rFonts w:hint="eastAsia" w:ascii="Times New Roman" w:hAnsi="Times New Roman"/>
          <w:bCs w:val="0"/>
          <w:color w:val="auto"/>
          <w:sz w:val="32"/>
          <w:szCs w:val="32"/>
          <w:lang w:val="zh-CN"/>
        </w:rPr>
        <w:t>目录</w:t>
      </w:r>
      <w:r>
        <w:rPr>
          <w:rStyle w:val="30"/>
          <w:rFonts w:ascii="Calibri" w:hAnsi="Calibri" w:eastAsia="宋体"/>
          <w:color w:val="auto"/>
          <w:sz w:val="32"/>
          <w:szCs w:val="32"/>
        </w:rPr>
        <w:fldChar w:fldCharType="begin"/>
      </w:r>
      <w:r>
        <w:rPr>
          <w:rStyle w:val="30"/>
          <w:rFonts w:ascii="Calibri" w:hAnsi="Calibri" w:eastAsia="宋体"/>
          <w:color w:val="auto"/>
          <w:sz w:val="32"/>
          <w:szCs w:val="32"/>
        </w:rPr>
        <w:instrText xml:space="preserve"> TOC \o "1-2" \h \z \u </w:instrText>
      </w:r>
      <w:r>
        <w:rPr>
          <w:rStyle w:val="30"/>
          <w:rFonts w:ascii="Calibri" w:hAnsi="Calibri" w:eastAsia="宋体"/>
          <w:color w:val="auto"/>
          <w:sz w:val="32"/>
          <w:szCs w:val="32"/>
        </w:rPr>
        <w:fldChar w:fldCharType="separate"/>
      </w:r>
    </w:p>
    <w:p>
      <w:pPr>
        <w:pStyle w:val="17"/>
        <w:spacing w:line="560" w:lineRule="exact"/>
        <w:ind w:firstLine="0"/>
        <w:rPr>
          <w:rStyle w:val="30"/>
          <w:rFonts w:ascii="Calibri" w:hAnsi="Calibri" w:eastAsia="宋体"/>
          <w:color w:val="auto"/>
          <w:sz w:val="32"/>
          <w:szCs w:val="32"/>
        </w:rPr>
      </w:pPr>
      <w:r>
        <w:rPr>
          <w:color w:val="auto"/>
        </w:rPr>
        <w:fldChar w:fldCharType="begin"/>
      </w:r>
      <w:r>
        <w:rPr>
          <w:color w:val="auto"/>
        </w:rPr>
        <w:instrText xml:space="preserve"> HYPERLINK \l "_Toc23874" </w:instrText>
      </w:r>
      <w:r>
        <w:rPr>
          <w:color w:val="auto"/>
        </w:rPr>
        <w:fldChar w:fldCharType="separate"/>
      </w:r>
      <w:r>
        <w:rPr>
          <w:rStyle w:val="30"/>
          <w:rFonts w:hint="eastAsia" w:ascii="黑体" w:hAnsi="黑体" w:eastAsia="黑体" w:cs="黑体"/>
          <w:color w:val="auto"/>
          <w:sz w:val="32"/>
          <w:szCs w:val="32"/>
        </w:rPr>
        <w:t>第一章 发展基础与总体要求</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rPr>
        <w:fldChar w:fldCharType="begin"/>
      </w:r>
      <w:r>
        <w:rPr>
          <w:rStyle w:val="30"/>
          <w:rFonts w:hint="eastAsia" w:ascii="黑体" w:hAnsi="黑体" w:eastAsia="黑体" w:cs="黑体"/>
          <w:color w:val="auto"/>
          <w:sz w:val="32"/>
          <w:szCs w:val="32"/>
        </w:rPr>
        <w:instrText xml:space="preserve"> PAGEREF _Toc23874 \h </w:instrText>
      </w:r>
      <w:r>
        <w:rPr>
          <w:rStyle w:val="30"/>
          <w:rFonts w:hint="eastAsia" w:ascii="黑体" w:hAnsi="黑体" w:eastAsia="黑体" w:cs="黑体"/>
          <w:color w:val="auto"/>
          <w:sz w:val="32"/>
          <w:szCs w:val="32"/>
        </w:rPr>
        <w:fldChar w:fldCharType="separate"/>
      </w:r>
      <w:r>
        <w:rPr>
          <w:rStyle w:val="30"/>
          <w:rFonts w:hint="eastAsia" w:ascii="黑体" w:hAnsi="黑体" w:eastAsia="黑体" w:cs="黑体"/>
          <w:color w:val="auto"/>
          <w:sz w:val="32"/>
          <w:szCs w:val="32"/>
        </w:rPr>
        <w:t>1</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rPr>
        <w:fldChar w:fldCharType="end"/>
      </w:r>
    </w:p>
    <w:p>
      <w:pPr>
        <w:pStyle w:val="21"/>
        <w:spacing w:line="560" w:lineRule="exact"/>
        <w:ind w:firstLine="0"/>
        <w:rPr>
          <w:rStyle w:val="30"/>
          <w:rFonts w:ascii="楷体" w:hAnsi="楷体" w:eastAsia="楷体" w:cs="楷体"/>
          <w:color w:val="auto"/>
          <w:sz w:val="32"/>
          <w:szCs w:val="32"/>
        </w:rPr>
      </w:pPr>
      <w:r>
        <w:rPr>
          <w:color w:val="auto"/>
        </w:rPr>
        <w:fldChar w:fldCharType="begin"/>
      </w:r>
      <w:r>
        <w:rPr>
          <w:color w:val="auto"/>
        </w:rPr>
        <w:instrText xml:space="preserve"> HYPERLINK \l "_Toc282" </w:instrText>
      </w:r>
      <w:r>
        <w:rPr>
          <w:color w:val="auto"/>
        </w:rPr>
        <w:fldChar w:fldCharType="separate"/>
      </w:r>
      <w:r>
        <w:rPr>
          <w:rStyle w:val="30"/>
          <w:rFonts w:hint="eastAsia" w:ascii="楷体" w:hAnsi="楷体" w:eastAsia="楷体" w:cs="楷体"/>
          <w:color w:val="auto"/>
          <w:sz w:val="32"/>
          <w:szCs w:val="32"/>
        </w:rPr>
        <w:t>第一节 发展基础</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_Toc282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1</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21"/>
        <w:spacing w:line="560" w:lineRule="exact"/>
        <w:ind w:firstLine="0"/>
        <w:rPr>
          <w:rStyle w:val="30"/>
          <w:rFonts w:ascii="楷体" w:hAnsi="楷体" w:eastAsia="楷体" w:cs="楷体"/>
          <w:color w:val="auto"/>
          <w:sz w:val="32"/>
          <w:szCs w:val="32"/>
        </w:rPr>
      </w:pPr>
      <w:r>
        <w:rPr>
          <w:color w:val="auto"/>
        </w:rPr>
        <w:fldChar w:fldCharType="begin"/>
      </w:r>
      <w:r>
        <w:rPr>
          <w:color w:val="auto"/>
        </w:rPr>
        <w:instrText xml:space="preserve"> HYPERLINK \l "_Toc12634" </w:instrText>
      </w:r>
      <w:r>
        <w:rPr>
          <w:color w:val="auto"/>
        </w:rPr>
        <w:fldChar w:fldCharType="separate"/>
      </w:r>
      <w:r>
        <w:rPr>
          <w:rStyle w:val="30"/>
          <w:rFonts w:hint="eastAsia" w:ascii="楷体" w:hAnsi="楷体" w:eastAsia="楷体" w:cs="楷体"/>
          <w:color w:val="auto"/>
          <w:sz w:val="32"/>
          <w:szCs w:val="32"/>
        </w:rPr>
        <w:t>第二节 面临形势</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_Toc12634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4</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21"/>
        <w:spacing w:line="560" w:lineRule="exact"/>
        <w:ind w:firstLine="0"/>
        <w:rPr>
          <w:rStyle w:val="30"/>
          <w:rFonts w:ascii="楷体" w:hAnsi="楷体" w:eastAsia="楷体" w:cs="楷体"/>
          <w:color w:val="auto"/>
          <w:sz w:val="32"/>
          <w:szCs w:val="32"/>
        </w:rPr>
      </w:pPr>
      <w:r>
        <w:rPr>
          <w:color w:val="auto"/>
        </w:rPr>
        <w:fldChar w:fldCharType="begin"/>
      </w:r>
      <w:r>
        <w:rPr>
          <w:color w:val="auto"/>
        </w:rPr>
        <w:instrText xml:space="preserve"> HYPERLINK \l "_Toc13938" </w:instrText>
      </w:r>
      <w:r>
        <w:rPr>
          <w:color w:val="auto"/>
        </w:rPr>
        <w:fldChar w:fldCharType="separate"/>
      </w:r>
      <w:r>
        <w:rPr>
          <w:rStyle w:val="30"/>
          <w:rFonts w:hint="eastAsia" w:ascii="楷体" w:hAnsi="楷体" w:eastAsia="楷体" w:cs="楷体"/>
          <w:color w:val="auto"/>
          <w:sz w:val="32"/>
          <w:szCs w:val="32"/>
        </w:rPr>
        <w:t>第三节 指导思想</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_Toc13938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6</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21"/>
        <w:spacing w:line="560" w:lineRule="exact"/>
        <w:ind w:firstLine="0"/>
        <w:rPr>
          <w:rStyle w:val="30"/>
          <w:rFonts w:ascii="楷体" w:hAnsi="楷体" w:eastAsia="楷体" w:cs="楷体"/>
          <w:color w:val="auto"/>
          <w:sz w:val="32"/>
          <w:szCs w:val="32"/>
        </w:rPr>
      </w:pPr>
      <w:r>
        <w:rPr>
          <w:color w:val="auto"/>
        </w:rPr>
        <w:fldChar w:fldCharType="begin"/>
      </w:r>
      <w:r>
        <w:rPr>
          <w:color w:val="auto"/>
        </w:rPr>
        <w:instrText xml:space="preserve"> HYPERLINK \l "_Toc27158" </w:instrText>
      </w:r>
      <w:r>
        <w:rPr>
          <w:color w:val="auto"/>
        </w:rPr>
        <w:fldChar w:fldCharType="separate"/>
      </w:r>
      <w:r>
        <w:rPr>
          <w:rStyle w:val="30"/>
          <w:rFonts w:hint="eastAsia" w:ascii="楷体" w:hAnsi="楷体" w:eastAsia="楷体" w:cs="楷体"/>
          <w:color w:val="auto"/>
          <w:sz w:val="32"/>
          <w:szCs w:val="32"/>
        </w:rPr>
        <w:t>第四节 基本原则</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_Toc27158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7</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21"/>
        <w:spacing w:line="560" w:lineRule="exact"/>
        <w:ind w:firstLine="0"/>
        <w:rPr>
          <w:rStyle w:val="30"/>
          <w:rFonts w:ascii="楷体" w:hAnsi="楷体" w:eastAsia="楷体" w:cs="楷体"/>
          <w:color w:val="auto"/>
          <w:sz w:val="32"/>
          <w:szCs w:val="32"/>
        </w:rPr>
      </w:pPr>
      <w:r>
        <w:rPr>
          <w:color w:val="auto"/>
        </w:rPr>
        <w:fldChar w:fldCharType="begin"/>
      </w:r>
      <w:r>
        <w:rPr>
          <w:color w:val="auto"/>
        </w:rPr>
        <w:instrText xml:space="preserve"> HYPERLINK \l "_Toc14610" </w:instrText>
      </w:r>
      <w:r>
        <w:rPr>
          <w:color w:val="auto"/>
        </w:rPr>
        <w:fldChar w:fldCharType="separate"/>
      </w:r>
      <w:r>
        <w:rPr>
          <w:rStyle w:val="30"/>
          <w:rFonts w:hint="eastAsia" w:ascii="楷体" w:hAnsi="楷体" w:eastAsia="楷体" w:cs="楷体"/>
          <w:color w:val="auto"/>
          <w:sz w:val="32"/>
          <w:szCs w:val="32"/>
        </w:rPr>
        <w:t>第五节 发展思路</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_Toc14610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7</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21"/>
        <w:spacing w:line="560" w:lineRule="exact"/>
        <w:ind w:firstLine="0"/>
        <w:rPr>
          <w:rStyle w:val="30"/>
          <w:rFonts w:ascii="Calibri" w:hAnsi="Calibri" w:eastAsia="宋体"/>
          <w:color w:val="auto"/>
          <w:sz w:val="32"/>
          <w:szCs w:val="32"/>
        </w:rPr>
      </w:pPr>
      <w:r>
        <w:rPr>
          <w:color w:val="auto"/>
        </w:rPr>
        <w:fldChar w:fldCharType="begin"/>
      </w:r>
      <w:r>
        <w:rPr>
          <w:color w:val="auto"/>
        </w:rPr>
        <w:instrText xml:space="preserve"> HYPERLINK \l "_Toc13908" </w:instrText>
      </w:r>
      <w:r>
        <w:rPr>
          <w:color w:val="auto"/>
        </w:rPr>
        <w:fldChar w:fldCharType="separate"/>
      </w:r>
      <w:r>
        <w:rPr>
          <w:rStyle w:val="30"/>
          <w:rFonts w:hint="eastAsia" w:ascii="楷体" w:hAnsi="楷体" w:eastAsia="楷体" w:cs="楷体"/>
          <w:color w:val="auto"/>
          <w:sz w:val="32"/>
          <w:szCs w:val="32"/>
        </w:rPr>
        <w:t>第六节 发展目标</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_Toc13908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8</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17"/>
        <w:spacing w:line="560" w:lineRule="exact"/>
        <w:ind w:firstLine="0"/>
        <w:rPr>
          <w:rStyle w:val="30"/>
          <w:rFonts w:ascii="黑体" w:hAnsi="黑体" w:eastAsia="黑体" w:cs="黑体"/>
          <w:color w:val="auto"/>
          <w:sz w:val="32"/>
          <w:szCs w:val="32"/>
        </w:rPr>
      </w:pPr>
      <w:r>
        <w:rPr>
          <w:color w:val="auto"/>
        </w:rPr>
        <w:fldChar w:fldCharType="begin"/>
      </w:r>
      <w:r>
        <w:rPr>
          <w:color w:val="auto"/>
        </w:rPr>
        <w:instrText xml:space="preserve"> HYPERLINK \l "_Toc18466" </w:instrText>
      </w:r>
      <w:r>
        <w:rPr>
          <w:color w:val="auto"/>
        </w:rPr>
        <w:fldChar w:fldCharType="separate"/>
      </w:r>
      <w:r>
        <w:rPr>
          <w:rStyle w:val="30"/>
          <w:rFonts w:hint="eastAsia" w:ascii="黑体" w:hAnsi="黑体" w:eastAsia="黑体" w:cs="黑体"/>
          <w:color w:val="auto"/>
          <w:sz w:val="32"/>
          <w:szCs w:val="32"/>
        </w:rPr>
        <w:t>第二章 推动双链深度融合，筑强创新平台载体</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rPr>
        <w:fldChar w:fldCharType="begin"/>
      </w:r>
      <w:r>
        <w:rPr>
          <w:rStyle w:val="30"/>
          <w:rFonts w:hint="eastAsia" w:ascii="黑体" w:hAnsi="黑体" w:eastAsia="黑体" w:cs="黑体"/>
          <w:color w:val="auto"/>
          <w:sz w:val="32"/>
          <w:szCs w:val="32"/>
        </w:rPr>
        <w:instrText xml:space="preserve"> PAGEREF _Toc18466 \h </w:instrText>
      </w:r>
      <w:r>
        <w:rPr>
          <w:rStyle w:val="30"/>
          <w:rFonts w:hint="eastAsia" w:ascii="黑体" w:hAnsi="黑体" w:eastAsia="黑体" w:cs="黑体"/>
          <w:color w:val="auto"/>
          <w:sz w:val="32"/>
          <w:szCs w:val="32"/>
        </w:rPr>
        <w:fldChar w:fldCharType="separate"/>
      </w:r>
      <w:r>
        <w:rPr>
          <w:rStyle w:val="30"/>
          <w:rFonts w:hint="eastAsia" w:ascii="黑体" w:hAnsi="黑体" w:eastAsia="黑体" w:cs="黑体"/>
          <w:color w:val="auto"/>
          <w:sz w:val="32"/>
          <w:szCs w:val="32"/>
        </w:rPr>
        <w:t>10</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rPr>
        <w:fldChar w:fldCharType="end"/>
      </w:r>
    </w:p>
    <w:p>
      <w:pPr>
        <w:pStyle w:val="21"/>
        <w:spacing w:line="560" w:lineRule="exact"/>
        <w:ind w:firstLine="0"/>
        <w:rPr>
          <w:rStyle w:val="30"/>
          <w:rFonts w:ascii="楷体" w:hAnsi="楷体" w:eastAsia="楷体" w:cs="楷体"/>
          <w:color w:val="auto"/>
          <w:sz w:val="32"/>
          <w:szCs w:val="32"/>
        </w:rPr>
      </w:pPr>
      <w:r>
        <w:rPr>
          <w:color w:val="auto"/>
        </w:rPr>
        <w:fldChar w:fldCharType="begin"/>
      </w:r>
      <w:r>
        <w:rPr>
          <w:color w:val="auto"/>
        </w:rPr>
        <w:instrText xml:space="preserve"> HYPERLINK \l "_Toc23918" </w:instrText>
      </w:r>
      <w:r>
        <w:rPr>
          <w:color w:val="auto"/>
        </w:rPr>
        <w:fldChar w:fldCharType="separate"/>
      </w:r>
      <w:r>
        <w:rPr>
          <w:rStyle w:val="30"/>
          <w:rFonts w:hint="eastAsia" w:ascii="楷体" w:hAnsi="楷体" w:eastAsia="楷体" w:cs="楷体"/>
          <w:color w:val="auto"/>
          <w:sz w:val="32"/>
          <w:szCs w:val="32"/>
        </w:rPr>
        <w:t>第一节 推进创新链产业链深度融合</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_Toc23918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10</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21"/>
        <w:spacing w:line="560" w:lineRule="exact"/>
        <w:ind w:firstLine="0"/>
        <w:rPr>
          <w:rStyle w:val="30"/>
          <w:rFonts w:ascii="楷体" w:hAnsi="楷体" w:eastAsia="楷体" w:cs="楷体"/>
          <w:color w:val="auto"/>
          <w:sz w:val="32"/>
          <w:szCs w:val="32"/>
        </w:rPr>
      </w:pPr>
      <w:r>
        <w:rPr>
          <w:color w:val="auto"/>
        </w:rPr>
        <w:fldChar w:fldCharType="begin"/>
      </w:r>
      <w:r>
        <w:rPr>
          <w:color w:val="auto"/>
        </w:rPr>
        <w:instrText xml:space="preserve"> HYPERLINK \l "_Toc18196" </w:instrText>
      </w:r>
      <w:r>
        <w:rPr>
          <w:color w:val="auto"/>
        </w:rPr>
        <w:fldChar w:fldCharType="separate"/>
      </w:r>
      <w:r>
        <w:rPr>
          <w:rStyle w:val="30"/>
          <w:rFonts w:hint="eastAsia" w:ascii="楷体" w:hAnsi="楷体" w:eastAsia="楷体" w:cs="楷体"/>
          <w:color w:val="auto"/>
          <w:sz w:val="32"/>
          <w:szCs w:val="32"/>
        </w:rPr>
        <w:t>第二节 加快五大科技创新载体建设</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_Toc18196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13</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21"/>
        <w:spacing w:line="560" w:lineRule="exact"/>
        <w:ind w:firstLine="0"/>
        <w:rPr>
          <w:rStyle w:val="30"/>
          <w:rFonts w:ascii="Calibri" w:hAnsi="Calibri" w:eastAsia="宋体"/>
          <w:color w:val="auto"/>
          <w:sz w:val="32"/>
          <w:szCs w:val="32"/>
        </w:rPr>
      </w:pPr>
      <w:r>
        <w:rPr>
          <w:color w:val="auto"/>
        </w:rPr>
        <w:fldChar w:fldCharType="begin"/>
      </w:r>
      <w:r>
        <w:rPr>
          <w:color w:val="auto"/>
        </w:rPr>
        <w:instrText xml:space="preserve"> HYPERLINK \l "_Toc12398" </w:instrText>
      </w:r>
      <w:r>
        <w:rPr>
          <w:color w:val="auto"/>
        </w:rPr>
        <w:fldChar w:fldCharType="separate"/>
      </w:r>
      <w:r>
        <w:rPr>
          <w:rStyle w:val="30"/>
          <w:rFonts w:hint="eastAsia" w:ascii="楷体" w:hAnsi="楷体" w:eastAsia="楷体" w:cs="楷体"/>
          <w:color w:val="auto"/>
          <w:sz w:val="32"/>
          <w:szCs w:val="32"/>
        </w:rPr>
        <w:t>第三节 提升现有平台科技创新能力</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_Toc12398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15</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17"/>
        <w:spacing w:line="560" w:lineRule="exact"/>
        <w:ind w:firstLine="0"/>
        <w:rPr>
          <w:rStyle w:val="30"/>
          <w:rFonts w:hint="eastAsia" w:ascii="黑体" w:hAnsi="黑体" w:eastAsia="黑体" w:cs="黑体"/>
          <w:color w:val="auto"/>
          <w:sz w:val="32"/>
          <w:szCs w:val="32"/>
          <w:lang w:val="en-US" w:eastAsia="zh-CN"/>
        </w:rPr>
      </w:pPr>
      <w:r>
        <w:rPr>
          <w:color w:val="auto"/>
        </w:rPr>
        <w:fldChar w:fldCharType="begin"/>
      </w:r>
      <w:r>
        <w:rPr>
          <w:color w:val="auto"/>
        </w:rPr>
        <w:instrText xml:space="preserve"> HYPERLINK \l "_Toc22701" </w:instrText>
      </w:r>
      <w:r>
        <w:rPr>
          <w:color w:val="auto"/>
        </w:rPr>
        <w:fldChar w:fldCharType="separate"/>
      </w:r>
      <w:r>
        <w:rPr>
          <w:rStyle w:val="30"/>
          <w:rFonts w:hint="eastAsia" w:ascii="黑体" w:hAnsi="黑体" w:eastAsia="黑体" w:cs="黑体"/>
          <w:color w:val="auto"/>
          <w:sz w:val="32"/>
          <w:szCs w:val="32"/>
        </w:rPr>
        <w:t>第三章 着力培育创新主体，不断提升发展动能</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lang w:val="en-US" w:eastAsia="zh-CN"/>
        </w:rPr>
        <w:t>1</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lang w:val="en-US" w:eastAsia="zh-CN"/>
        </w:rPr>
        <w:t>8</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"_Toc28028" </w:instrText>
      </w:r>
      <w:r>
        <w:rPr>
          <w:color w:val="auto"/>
        </w:rPr>
        <w:fldChar w:fldCharType="separate"/>
      </w:r>
      <w:r>
        <w:rPr>
          <w:rStyle w:val="30"/>
          <w:rFonts w:hint="eastAsia" w:ascii="楷体" w:hAnsi="楷体" w:eastAsia="楷体" w:cs="楷体"/>
          <w:color w:val="auto"/>
          <w:sz w:val="32"/>
          <w:szCs w:val="32"/>
        </w:rPr>
        <w:t>第一节 加快培育科技型企业</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1</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8</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"_Toc5915" </w:instrText>
      </w:r>
      <w:r>
        <w:rPr>
          <w:color w:val="auto"/>
        </w:rPr>
        <w:fldChar w:fldCharType="separate"/>
      </w:r>
      <w:r>
        <w:rPr>
          <w:rStyle w:val="30"/>
          <w:rFonts w:hint="eastAsia" w:ascii="楷体" w:hAnsi="楷体" w:eastAsia="楷体" w:cs="楷体"/>
          <w:color w:val="auto"/>
          <w:sz w:val="32"/>
          <w:szCs w:val="32"/>
        </w:rPr>
        <w:t>第二节 提升企业自主创新能力</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1</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9</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"_Toc28686" </w:instrText>
      </w:r>
      <w:r>
        <w:rPr>
          <w:color w:val="auto"/>
        </w:rPr>
        <w:fldChar w:fldCharType="separate"/>
      </w:r>
      <w:r>
        <w:rPr>
          <w:rStyle w:val="30"/>
          <w:rFonts w:hint="eastAsia" w:ascii="楷体" w:hAnsi="楷体" w:eastAsia="楷体" w:cs="楷体"/>
          <w:color w:val="auto"/>
          <w:sz w:val="32"/>
          <w:szCs w:val="32"/>
        </w:rPr>
        <w:t>第三节 打造企业创新联合体</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2</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0</w:t>
      </w:r>
    </w:p>
    <w:p>
      <w:pPr>
        <w:pStyle w:val="21"/>
        <w:spacing w:line="560" w:lineRule="exact"/>
        <w:ind w:firstLine="0"/>
        <w:rPr>
          <w:rStyle w:val="30"/>
          <w:rFonts w:hint="eastAsia" w:ascii="Calibri" w:hAnsi="Calibri" w:eastAsia="楷体"/>
          <w:color w:val="auto"/>
          <w:sz w:val="32"/>
          <w:szCs w:val="32"/>
          <w:lang w:val="en-US" w:eastAsia="zh-CN"/>
        </w:rPr>
      </w:pPr>
      <w:r>
        <w:rPr>
          <w:color w:val="auto"/>
        </w:rPr>
        <w:fldChar w:fldCharType="begin"/>
      </w:r>
      <w:r>
        <w:rPr>
          <w:color w:val="auto"/>
        </w:rPr>
        <w:instrText xml:space="preserve"> HYPERLINK \l "_Toc31220" </w:instrText>
      </w:r>
      <w:r>
        <w:rPr>
          <w:color w:val="auto"/>
        </w:rPr>
        <w:fldChar w:fldCharType="separate"/>
      </w:r>
      <w:r>
        <w:rPr>
          <w:rStyle w:val="30"/>
          <w:rFonts w:hint="eastAsia" w:ascii="楷体" w:hAnsi="楷体" w:eastAsia="楷体" w:cs="楷体"/>
          <w:color w:val="auto"/>
          <w:sz w:val="32"/>
          <w:szCs w:val="32"/>
        </w:rPr>
        <w:t>第四节 拓展创新创业发展空间</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2</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1</w:t>
      </w:r>
    </w:p>
    <w:p>
      <w:pPr>
        <w:pStyle w:val="17"/>
        <w:spacing w:line="560" w:lineRule="exact"/>
        <w:ind w:firstLine="0"/>
        <w:rPr>
          <w:rStyle w:val="30"/>
          <w:rFonts w:hint="eastAsia" w:ascii="黑体" w:hAnsi="黑体" w:eastAsia="黑体" w:cs="黑体"/>
          <w:color w:val="auto"/>
          <w:sz w:val="32"/>
          <w:szCs w:val="32"/>
          <w:lang w:val="en-US" w:eastAsia="zh-CN"/>
        </w:rPr>
      </w:pPr>
      <w:r>
        <w:rPr>
          <w:color w:val="auto"/>
        </w:rPr>
        <w:fldChar w:fldCharType="begin"/>
      </w:r>
      <w:r>
        <w:rPr>
          <w:color w:val="auto"/>
        </w:rPr>
        <w:instrText xml:space="preserve"> HYPERLINK \l "_Toc7025" </w:instrText>
      </w:r>
      <w:r>
        <w:rPr>
          <w:color w:val="auto"/>
        </w:rPr>
        <w:fldChar w:fldCharType="separate"/>
      </w:r>
      <w:r>
        <w:rPr>
          <w:rStyle w:val="30"/>
          <w:rFonts w:hint="eastAsia" w:ascii="黑体" w:hAnsi="黑体" w:eastAsia="黑体" w:cs="黑体"/>
          <w:color w:val="auto"/>
          <w:sz w:val="32"/>
          <w:szCs w:val="32"/>
        </w:rPr>
        <w:t>第四章 加快重点产业创新，驱动经济高质量发展</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lang w:val="en-US" w:eastAsia="zh-CN"/>
        </w:rPr>
        <w:t>2</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lang w:val="en-US" w:eastAsia="zh-CN"/>
        </w:rPr>
        <w:t>4</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"_Toc16671" </w:instrText>
      </w:r>
      <w:r>
        <w:rPr>
          <w:color w:val="auto"/>
        </w:rPr>
        <w:fldChar w:fldCharType="separate"/>
      </w:r>
      <w:r>
        <w:rPr>
          <w:rStyle w:val="30"/>
          <w:rFonts w:hint="eastAsia" w:ascii="楷体" w:hAnsi="楷体" w:eastAsia="楷体" w:cs="楷体"/>
          <w:color w:val="auto"/>
          <w:sz w:val="32"/>
          <w:szCs w:val="32"/>
        </w:rPr>
        <w:t>第一节 支撑三大千亿级产业集群壮大发展</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2</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4</w:t>
      </w:r>
    </w:p>
    <w:p>
      <w:pPr>
        <w:pStyle w:val="21"/>
        <w:spacing w:line="560" w:lineRule="exact"/>
        <w:ind w:firstLine="0"/>
        <w:rPr>
          <w:rStyle w:val="30"/>
          <w:rFonts w:hint="eastAsia" w:ascii="Calibri" w:hAnsi="Calibri" w:eastAsia="楷体"/>
          <w:color w:val="auto"/>
          <w:sz w:val="32"/>
          <w:szCs w:val="32"/>
          <w:lang w:val="en-US" w:eastAsia="zh-CN"/>
        </w:rPr>
      </w:pPr>
      <w:r>
        <w:rPr>
          <w:color w:val="auto"/>
        </w:rPr>
        <w:fldChar w:fldCharType="begin"/>
      </w:r>
      <w:r>
        <w:rPr>
          <w:color w:val="auto"/>
        </w:rPr>
        <w:instrText xml:space="preserve"> HYPERLINK \l "_Toc6803" </w:instrText>
      </w:r>
      <w:r>
        <w:rPr>
          <w:color w:val="auto"/>
        </w:rPr>
        <w:fldChar w:fldCharType="separate"/>
      </w:r>
      <w:r>
        <w:rPr>
          <w:rStyle w:val="30"/>
          <w:rFonts w:hint="eastAsia" w:ascii="楷体" w:hAnsi="楷体" w:eastAsia="楷体" w:cs="楷体"/>
          <w:color w:val="auto"/>
          <w:sz w:val="32"/>
          <w:szCs w:val="32"/>
        </w:rPr>
        <w:t>第二节 推进四大新支柱产业追赶超越</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2</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8</w:t>
      </w:r>
    </w:p>
    <w:p>
      <w:pPr>
        <w:pStyle w:val="17"/>
        <w:spacing w:line="560" w:lineRule="exact"/>
        <w:ind w:firstLine="0"/>
        <w:rPr>
          <w:rStyle w:val="30"/>
          <w:rFonts w:hint="eastAsia" w:ascii="黑体" w:hAnsi="黑体" w:eastAsia="黑体" w:cs="黑体"/>
          <w:color w:val="auto"/>
          <w:sz w:val="32"/>
          <w:szCs w:val="32"/>
          <w:lang w:val="en-US" w:eastAsia="zh-CN"/>
        </w:rPr>
      </w:pPr>
      <w:r>
        <w:rPr>
          <w:color w:val="auto"/>
        </w:rPr>
        <w:fldChar w:fldCharType="begin"/>
      </w:r>
      <w:r>
        <w:rPr>
          <w:color w:val="auto"/>
        </w:rPr>
        <w:instrText xml:space="preserve"> HYPERLINK \l "_Toc13290" </w:instrText>
      </w:r>
      <w:r>
        <w:rPr>
          <w:color w:val="auto"/>
        </w:rPr>
        <w:fldChar w:fldCharType="separate"/>
      </w:r>
      <w:r>
        <w:rPr>
          <w:rStyle w:val="30"/>
          <w:rFonts w:hint="eastAsia" w:ascii="黑体" w:hAnsi="黑体" w:eastAsia="黑体" w:cs="黑体"/>
          <w:color w:val="auto"/>
          <w:sz w:val="32"/>
          <w:szCs w:val="32"/>
        </w:rPr>
        <w:t>第五章 科技助力乡村振兴，推动县域创新发展</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lang w:val="en-US" w:eastAsia="zh-CN"/>
        </w:rPr>
        <w:t>3</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lang w:val="en-US" w:eastAsia="zh-CN"/>
        </w:rPr>
        <w:t>1</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"_Toc10050" </w:instrText>
      </w:r>
      <w:r>
        <w:rPr>
          <w:color w:val="auto"/>
        </w:rPr>
        <w:fldChar w:fldCharType="separate"/>
      </w:r>
      <w:r>
        <w:rPr>
          <w:rStyle w:val="30"/>
          <w:rFonts w:hint="eastAsia" w:ascii="楷体" w:hAnsi="楷体" w:eastAsia="楷体" w:cs="楷体"/>
          <w:color w:val="auto"/>
          <w:sz w:val="32"/>
          <w:szCs w:val="32"/>
        </w:rPr>
        <w:t>第一节 科技赋能农业提质增效</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3</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1</w:t>
      </w:r>
    </w:p>
    <w:p>
      <w:pPr>
        <w:pStyle w:val="21"/>
        <w:spacing w:line="560" w:lineRule="exact"/>
        <w:ind w:firstLine="0"/>
        <w:rPr>
          <w:rStyle w:val="30"/>
          <w:rFonts w:hint="eastAsia" w:ascii="Calibri" w:hAnsi="Calibri" w:eastAsia="楷体"/>
          <w:color w:val="auto"/>
          <w:sz w:val="32"/>
          <w:szCs w:val="32"/>
          <w:lang w:val="en-US" w:eastAsia="zh-CN"/>
        </w:rPr>
      </w:pPr>
      <w:r>
        <w:rPr>
          <w:color w:val="auto"/>
        </w:rPr>
        <w:fldChar w:fldCharType="begin"/>
      </w:r>
      <w:r>
        <w:rPr>
          <w:color w:val="auto"/>
        </w:rPr>
        <w:instrText xml:space="preserve"> HYPERLINK \l "_Toc15829" </w:instrText>
      </w:r>
      <w:r>
        <w:rPr>
          <w:color w:val="auto"/>
        </w:rPr>
        <w:fldChar w:fldCharType="separate"/>
      </w:r>
      <w:r>
        <w:rPr>
          <w:rStyle w:val="30"/>
          <w:rFonts w:hint="eastAsia" w:ascii="楷体" w:hAnsi="楷体" w:eastAsia="楷体" w:cs="楷体"/>
          <w:color w:val="auto"/>
          <w:sz w:val="32"/>
          <w:szCs w:val="32"/>
        </w:rPr>
        <w:t>第二节 助力乡村振兴稳步启航</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3</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6</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"_Toc23609" </w:instrText>
      </w:r>
      <w:r>
        <w:rPr>
          <w:color w:val="auto"/>
        </w:rPr>
        <w:fldChar w:fldCharType="separate"/>
      </w:r>
      <w:r>
        <w:rPr>
          <w:rStyle w:val="30"/>
          <w:rFonts w:hint="eastAsia" w:ascii="楷体" w:hAnsi="楷体" w:eastAsia="楷体" w:cs="楷体"/>
          <w:color w:val="auto"/>
          <w:sz w:val="32"/>
          <w:szCs w:val="32"/>
        </w:rPr>
        <w:t>第三节 有效提升县域创新能力</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3</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7</w:t>
      </w:r>
    </w:p>
    <w:p>
      <w:pPr>
        <w:pStyle w:val="17"/>
        <w:spacing w:line="560" w:lineRule="exact"/>
        <w:ind w:firstLine="0"/>
        <w:rPr>
          <w:rStyle w:val="30"/>
          <w:rFonts w:ascii="黑体" w:hAnsi="黑体" w:eastAsia="黑体" w:cs="黑体"/>
          <w:color w:val="auto"/>
          <w:sz w:val="32"/>
          <w:szCs w:val="32"/>
        </w:rPr>
      </w:pPr>
      <w:r>
        <w:rPr>
          <w:color w:val="auto"/>
        </w:rPr>
        <w:fldChar w:fldCharType="begin"/>
      </w:r>
      <w:r>
        <w:rPr>
          <w:color w:val="auto"/>
        </w:rPr>
        <w:instrText xml:space="preserve"> HYPERLINK \l "_Toc32490" </w:instrText>
      </w:r>
      <w:r>
        <w:rPr>
          <w:color w:val="auto"/>
        </w:rPr>
        <w:fldChar w:fldCharType="separate"/>
      </w:r>
      <w:r>
        <w:rPr>
          <w:rStyle w:val="30"/>
          <w:rFonts w:hint="eastAsia" w:ascii="黑体" w:hAnsi="黑体" w:eastAsia="黑体" w:cs="黑体"/>
          <w:color w:val="auto"/>
          <w:sz w:val="32"/>
          <w:szCs w:val="32"/>
        </w:rPr>
        <w:t>第六章 重视发展民生科技，增进人民健康福祉</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rPr>
        <w:fldChar w:fldCharType="begin"/>
      </w:r>
      <w:r>
        <w:rPr>
          <w:rStyle w:val="30"/>
          <w:rFonts w:hint="eastAsia" w:ascii="黑体" w:hAnsi="黑体" w:eastAsia="黑体" w:cs="黑体"/>
          <w:color w:val="auto"/>
          <w:sz w:val="32"/>
          <w:szCs w:val="32"/>
        </w:rPr>
        <w:instrText xml:space="preserve"> PAGEREF _Toc32490 \h </w:instrText>
      </w:r>
      <w:r>
        <w:rPr>
          <w:rStyle w:val="30"/>
          <w:rFonts w:hint="eastAsia" w:ascii="黑体" w:hAnsi="黑体" w:eastAsia="黑体" w:cs="黑体"/>
          <w:color w:val="auto"/>
          <w:sz w:val="32"/>
          <w:szCs w:val="32"/>
        </w:rPr>
        <w:fldChar w:fldCharType="separate"/>
      </w:r>
      <w:r>
        <w:rPr>
          <w:rStyle w:val="30"/>
          <w:rFonts w:hint="eastAsia" w:ascii="黑体" w:hAnsi="黑体" w:eastAsia="黑体" w:cs="黑体"/>
          <w:color w:val="auto"/>
          <w:sz w:val="32"/>
          <w:szCs w:val="32"/>
        </w:rPr>
        <w:t>40</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rPr>
        <w:fldChar w:fldCharType="end"/>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"_Toc28844" </w:instrText>
      </w:r>
      <w:r>
        <w:rPr>
          <w:color w:val="auto"/>
        </w:rPr>
        <w:fldChar w:fldCharType="separate"/>
      </w:r>
      <w:r>
        <w:rPr>
          <w:rStyle w:val="30"/>
          <w:rFonts w:hint="eastAsia" w:ascii="楷体" w:hAnsi="楷体" w:eastAsia="楷体" w:cs="楷体"/>
          <w:color w:val="auto"/>
          <w:sz w:val="32"/>
          <w:szCs w:val="32"/>
        </w:rPr>
        <w:t>第一节 科技护卫“健康安康”</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4</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0</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"_Toc21397" </w:instrText>
      </w:r>
      <w:r>
        <w:rPr>
          <w:color w:val="auto"/>
        </w:rPr>
        <w:fldChar w:fldCharType="separate"/>
      </w:r>
      <w:r>
        <w:rPr>
          <w:rStyle w:val="30"/>
          <w:rFonts w:hint="eastAsia" w:ascii="楷体" w:hAnsi="楷体" w:eastAsia="楷体" w:cs="楷体"/>
          <w:color w:val="auto"/>
          <w:sz w:val="32"/>
          <w:szCs w:val="32"/>
        </w:rPr>
        <w:t>第二节 构筑生态防护屏障</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4</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1</w:t>
      </w:r>
    </w:p>
    <w:p>
      <w:pPr>
        <w:pStyle w:val="21"/>
        <w:spacing w:line="560" w:lineRule="exact"/>
        <w:ind w:firstLine="0"/>
        <w:rPr>
          <w:rStyle w:val="30"/>
          <w:rFonts w:hint="eastAsia" w:ascii="Calibri" w:hAnsi="Calibri" w:eastAsia="楷体"/>
          <w:color w:val="auto"/>
          <w:sz w:val="32"/>
          <w:szCs w:val="32"/>
          <w:lang w:val="en-US" w:eastAsia="zh-CN"/>
        </w:rPr>
      </w:pPr>
      <w:r>
        <w:rPr>
          <w:color w:val="auto"/>
        </w:rPr>
        <w:fldChar w:fldCharType="begin"/>
      </w:r>
      <w:r>
        <w:rPr>
          <w:color w:val="auto"/>
        </w:rPr>
        <w:instrText xml:space="preserve"> HYPERLINK \l "_Toc28988" </w:instrText>
      </w:r>
      <w:r>
        <w:rPr>
          <w:color w:val="auto"/>
        </w:rPr>
        <w:fldChar w:fldCharType="separate"/>
      </w:r>
      <w:r>
        <w:rPr>
          <w:rStyle w:val="30"/>
          <w:rFonts w:hint="eastAsia" w:ascii="楷体" w:hAnsi="楷体" w:eastAsia="楷体" w:cs="楷体"/>
          <w:color w:val="auto"/>
          <w:sz w:val="32"/>
          <w:szCs w:val="32"/>
        </w:rPr>
        <w:t>第三节 提供公共安全保障</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4</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3</w:t>
      </w:r>
    </w:p>
    <w:p>
      <w:pPr>
        <w:pStyle w:val="17"/>
        <w:spacing w:line="560" w:lineRule="exact"/>
        <w:ind w:firstLine="0"/>
        <w:rPr>
          <w:rStyle w:val="30"/>
          <w:rFonts w:hint="eastAsia" w:ascii="黑体" w:hAnsi="黑体" w:eastAsia="黑体" w:cs="黑体"/>
          <w:color w:val="auto"/>
          <w:sz w:val="32"/>
          <w:szCs w:val="32"/>
          <w:lang w:val="en-US" w:eastAsia="zh-CN"/>
        </w:rPr>
      </w:pPr>
      <w:r>
        <w:rPr>
          <w:color w:val="auto"/>
        </w:rPr>
        <w:fldChar w:fldCharType="begin"/>
      </w:r>
      <w:r>
        <w:rPr>
          <w:color w:val="auto"/>
        </w:rPr>
        <w:instrText xml:space="preserve"> HYPERLINK \l "_Toc14414" </w:instrText>
      </w:r>
      <w:r>
        <w:rPr>
          <w:color w:val="auto"/>
        </w:rPr>
        <w:fldChar w:fldCharType="separate"/>
      </w:r>
      <w:r>
        <w:rPr>
          <w:rStyle w:val="30"/>
          <w:rFonts w:hint="eastAsia" w:ascii="黑体" w:hAnsi="黑体" w:eastAsia="黑体" w:cs="黑体"/>
          <w:color w:val="auto"/>
          <w:sz w:val="32"/>
          <w:szCs w:val="32"/>
        </w:rPr>
        <w:t>第七章 完善融通创新生态，提升管理服务水平</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lang w:val="en-US" w:eastAsia="zh-CN"/>
        </w:rPr>
        <w:t>4</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lang w:val="en-US" w:eastAsia="zh-CN"/>
        </w:rPr>
        <w:t>5</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"_Toc26998" </w:instrText>
      </w:r>
      <w:r>
        <w:rPr>
          <w:color w:val="auto"/>
        </w:rPr>
        <w:fldChar w:fldCharType="separate"/>
      </w:r>
      <w:r>
        <w:rPr>
          <w:rStyle w:val="30"/>
          <w:rFonts w:hint="eastAsia" w:ascii="楷体" w:hAnsi="楷体" w:eastAsia="楷体" w:cs="楷体"/>
          <w:color w:val="auto"/>
          <w:sz w:val="32"/>
          <w:szCs w:val="32"/>
        </w:rPr>
        <w:t>第一节 深化科技体制改革</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4</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5</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"_Toc20379" </w:instrText>
      </w:r>
      <w:r>
        <w:rPr>
          <w:color w:val="auto"/>
        </w:rPr>
        <w:fldChar w:fldCharType="separate"/>
      </w:r>
      <w:r>
        <w:rPr>
          <w:rStyle w:val="30"/>
          <w:rFonts w:hint="eastAsia" w:ascii="楷体" w:hAnsi="楷体" w:eastAsia="楷体" w:cs="楷体"/>
          <w:color w:val="auto"/>
          <w:sz w:val="32"/>
          <w:szCs w:val="32"/>
        </w:rPr>
        <w:t>第二节 聚集科技创新人才</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4</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7</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"_Toc19009" </w:instrText>
      </w:r>
      <w:r>
        <w:rPr>
          <w:color w:val="auto"/>
        </w:rPr>
        <w:fldChar w:fldCharType="separate"/>
      </w:r>
      <w:r>
        <w:rPr>
          <w:rStyle w:val="30"/>
          <w:rFonts w:hint="eastAsia" w:ascii="楷体" w:hAnsi="楷体" w:eastAsia="楷体" w:cs="楷体"/>
          <w:color w:val="auto"/>
          <w:sz w:val="32"/>
          <w:szCs w:val="32"/>
        </w:rPr>
        <w:t>第三节 推动科技金融融合</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4</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9</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"_Toc17725" </w:instrText>
      </w:r>
      <w:r>
        <w:rPr>
          <w:color w:val="auto"/>
        </w:rPr>
        <w:fldChar w:fldCharType="separate"/>
      </w:r>
      <w:r>
        <w:rPr>
          <w:rStyle w:val="30"/>
          <w:rFonts w:hint="eastAsia" w:ascii="楷体" w:hAnsi="楷体" w:eastAsia="楷体" w:cs="楷体"/>
          <w:color w:val="auto"/>
          <w:sz w:val="32"/>
          <w:szCs w:val="32"/>
        </w:rPr>
        <w:t>第四节 加强区域创新协同</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5</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1</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"_Toc31990" </w:instrText>
      </w:r>
      <w:r>
        <w:rPr>
          <w:color w:val="auto"/>
        </w:rPr>
        <w:fldChar w:fldCharType="separate"/>
      </w:r>
      <w:r>
        <w:rPr>
          <w:rStyle w:val="30"/>
          <w:rFonts w:hint="eastAsia" w:ascii="楷体" w:hAnsi="楷体" w:eastAsia="楷体" w:cs="楷体"/>
          <w:color w:val="auto"/>
          <w:sz w:val="32"/>
          <w:szCs w:val="32"/>
        </w:rPr>
        <w:t>第五节 加速科技成果转化</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5</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2</w:t>
      </w:r>
    </w:p>
    <w:p>
      <w:pPr>
        <w:pStyle w:val="21"/>
        <w:spacing w:line="560" w:lineRule="exact"/>
        <w:ind w:firstLine="0"/>
        <w:rPr>
          <w:rStyle w:val="30"/>
          <w:rFonts w:hint="eastAsia" w:ascii="Calibri" w:hAnsi="Calibri" w:eastAsia="楷体"/>
          <w:color w:val="auto"/>
          <w:sz w:val="32"/>
          <w:szCs w:val="32"/>
          <w:lang w:val="en-US" w:eastAsia="zh-CN"/>
        </w:rPr>
      </w:pPr>
      <w:r>
        <w:rPr>
          <w:color w:val="auto"/>
        </w:rPr>
        <w:fldChar w:fldCharType="begin"/>
      </w:r>
      <w:r>
        <w:rPr>
          <w:color w:val="auto"/>
        </w:rPr>
        <w:instrText xml:space="preserve"> HYPERLINK \l "_Toc24435" </w:instrText>
      </w:r>
      <w:r>
        <w:rPr>
          <w:color w:val="auto"/>
        </w:rPr>
        <w:fldChar w:fldCharType="separate"/>
      </w:r>
      <w:r>
        <w:rPr>
          <w:rStyle w:val="30"/>
          <w:rFonts w:hint="eastAsia" w:ascii="楷体" w:hAnsi="楷体" w:eastAsia="楷体" w:cs="楷体"/>
          <w:color w:val="auto"/>
          <w:sz w:val="32"/>
          <w:szCs w:val="32"/>
        </w:rPr>
        <w:t>第六节 营造创新创业生态</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5</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3</w:t>
      </w:r>
    </w:p>
    <w:p>
      <w:pPr>
        <w:pStyle w:val="17"/>
        <w:spacing w:line="560" w:lineRule="exact"/>
        <w:ind w:firstLine="0"/>
        <w:rPr>
          <w:rStyle w:val="30"/>
          <w:rFonts w:hint="eastAsia" w:ascii="黑体" w:hAnsi="黑体" w:eastAsia="黑体" w:cs="黑体"/>
          <w:color w:val="auto"/>
          <w:sz w:val="32"/>
          <w:szCs w:val="32"/>
          <w:lang w:val="en-US" w:eastAsia="zh-CN"/>
        </w:rPr>
      </w:pPr>
      <w:r>
        <w:rPr>
          <w:color w:val="auto"/>
        </w:rPr>
        <w:fldChar w:fldCharType="begin"/>
      </w:r>
      <w:r>
        <w:rPr>
          <w:color w:val="auto"/>
        </w:rPr>
        <w:instrText xml:space="preserve"> HYPERLINK \l "_Toc20465" </w:instrText>
      </w:r>
      <w:r>
        <w:rPr>
          <w:color w:val="auto"/>
        </w:rPr>
        <w:fldChar w:fldCharType="separate"/>
      </w:r>
      <w:r>
        <w:rPr>
          <w:rStyle w:val="30"/>
          <w:rFonts w:hint="eastAsia" w:ascii="黑体" w:hAnsi="黑体" w:eastAsia="黑体" w:cs="黑体"/>
          <w:color w:val="auto"/>
          <w:sz w:val="32"/>
          <w:szCs w:val="32"/>
        </w:rPr>
        <w:t>第八章 落实规划保障举措，确保规划顺利实施</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lang w:val="en-US" w:eastAsia="zh-CN"/>
        </w:rPr>
        <w:t>5</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lang w:val="en-US" w:eastAsia="zh-CN"/>
        </w:rPr>
        <w:t>4</w:t>
      </w:r>
    </w:p>
    <w:p>
      <w:pPr>
        <w:pStyle w:val="21"/>
        <w:spacing w:line="560" w:lineRule="exact"/>
        <w:ind w:firstLine="0"/>
        <w:rPr>
          <w:rStyle w:val="30"/>
          <w:rFonts w:hint="eastAsia" w:ascii="楷体" w:hAnsi="楷体" w:eastAsia="楷体" w:cs="楷体"/>
          <w:color w:val="auto"/>
          <w:sz w:val="32"/>
          <w:szCs w:val="32"/>
          <w:lang w:val="en-US" w:eastAsia="zh-CN"/>
        </w:rPr>
      </w:pPr>
      <w:r>
        <w:rPr>
          <w:color w:val="auto"/>
        </w:rPr>
        <w:fldChar w:fldCharType="begin"/>
      </w:r>
      <w:r>
        <w:rPr>
          <w:color w:val="auto"/>
        </w:rPr>
        <w:instrText xml:space="preserve"> HYPERLINK \l "_Toc22468" </w:instrText>
      </w:r>
      <w:r>
        <w:rPr>
          <w:color w:val="auto"/>
        </w:rPr>
        <w:fldChar w:fldCharType="separate"/>
      </w:r>
      <w:r>
        <w:rPr>
          <w:rStyle w:val="30"/>
          <w:rFonts w:hint="eastAsia" w:ascii="楷体" w:hAnsi="楷体" w:eastAsia="楷体" w:cs="楷体"/>
          <w:color w:val="auto"/>
          <w:sz w:val="32"/>
          <w:szCs w:val="32"/>
        </w:rPr>
        <w:t>第一节 健全规划实施体系</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5</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4</w:t>
      </w:r>
    </w:p>
    <w:p>
      <w:pPr>
        <w:pStyle w:val="21"/>
        <w:spacing w:line="560" w:lineRule="exact"/>
        <w:ind w:firstLine="0"/>
        <w:rPr>
          <w:rStyle w:val="30"/>
          <w:rFonts w:ascii="楷体" w:hAnsi="楷体" w:eastAsia="楷体" w:cs="楷体"/>
          <w:color w:val="auto"/>
          <w:sz w:val="32"/>
          <w:szCs w:val="32"/>
        </w:rPr>
      </w:pPr>
      <w:r>
        <w:rPr>
          <w:color w:val="auto"/>
        </w:rPr>
        <w:fldChar w:fldCharType="begin"/>
      </w:r>
      <w:r>
        <w:rPr>
          <w:color w:val="auto"/>
        </w:rPr>
        <w:instrText xml:space="preserve"> HYPERLINK \l "_Toc4310" </w:instrText>
      </w:r>
      <w:r>
        <w:rPr>
          <w:color w:val="auto"/>
        </w:rPr>
        <w:fldChar w:fldCharType="separate"/>
      </w:r>
      <w:r>
        <w:rPr>
          <w:rStyle w:val="30"/>
          <w:rFonts w:hint="eastAsia" w:ascii="楷体" w:hAnsi="楷体" w:eastAsia="楷体" w:cs="楷体"/>
          <w:color w:val="auto"/>
          <w:sz w:val="32"/>
          <w:szCs w:val="32"/>
        </w:rPr>
        <w:t>第二节 落实各方主体责任</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rPr>
        <w:fldChar w:fldCharType="begin"/>
      </w:r>
      <w:r>
        <w:rPr>
          <w:rStyle w:val="30"/>
          <w:rFonts w:hint="eastAsia" w:ascii="楷体" w:hAnsi="楷体" w:eastAsia="楷体" w:cs="楷体"/>
          <w:color w:val="auto"/>
          <w:sz w:val="32"/>
          <w:szCs w:val="32"/>
        </w:rPr>
        <w:instrText xml:space="preserve"> PAGEREF _Toc4310 \h </w:instrText>
      </w:r>
      <w:r>
        <w:rPr>
          <w:rStyle w:val="30"/>
          <w:rFonts w:hint="eastAsia" w:ascii="楷体" w:hAnsi="楷体" w:eastAsia="楷体" w:cs="楷体"/>
          <w:color w:val="auto"/>
          <w:sz w:val="32"/>
          <w:szCs w:val="32"/>
        </w:rPr>
        <w:fldChar w:fldCharType="separate"/>
      </w:r>
      <w:r>
        <w:rPr>
          <w:rStyle w:val="30"/>
          <w:rFonts w:hint="eastAsia" w:ascii="楷体" w:hAnsi="楷体" w:eastAsia="楷体" w:cs="楷体"/>
          <w:color w:val="auto"/>
          <w:sz w:val="32"/>
          <w:szCs w:val="32"/>
        </w:rPr>
        <w:t>54</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rPr>
        <w:fldChar w:fldCharType="end"/>
      </w:r>
    </w:p>
    <w:p>
      <w:pPr>
        <w:pStyle w:val="21"/>
        <w:spacing w:line="560" w:lineRule="exact"/>
        <w:ind w:firstLine="0"/>
        <w:rPr>
          <w:rStyle w:val="30"/>
          <w:rFonts w:hint="eastAsia" w:ascii="Calibri" w:hAnsi="Calibri" w:eastAsia="楷体"/>
          <w:color w:val="auto"/>
          <w:sz w:val="32"/>
          <w:szCs w:val="32"/>
          <w:lang w:val="en-US" w:eastAsia="zh-CN"/>
        </w:rPr>
      </w:pPr>
      <w:r>
        <w:rPr>
          <w:color w:val="auto"/>
        </w:rPr>
        <w:fldChar w:fldCharType="begin"/>
      </w:r>
      <w:r>
        <w:rPr>
          <w:color w:val="auto"/>
        </w:rPr>
        <w:instrText xml:space="preserve"> HYPERLINK \l "_Toc7855" </w:instrText>
      </w:r>
      <w:r>
        <w:rPr>
          <w:color w:val="auto"/>
        </w:rPr>
        <w:fldChar w:fldCharType="separate"/>
      </w:r>
      <w:r>
        <w:rPr>
          <w:rStyle w:val="30"/>
          <w:rFonts w:hint="eastAsia" w:ascii="楷体" w:hAnsi="楷体" w:eastAsia="楷体" w:cs="楷体"/>
          <w:color w:val="auto"/>
          <w:sz w:val="32"/>
          <w:szCs w:val="32"/>
        </w:rPr>
        <w:t>第三节 加大科技创新投入</w:t>
      </w:r>
      <w:r>
        <w:rPr>
          <w:rStyle w:val="30"/>
          <w:rFonts w:hint="eastAsia" w:ascii="楷体" w:hAnsi="楷体" w:eastAsia="楷体" w:cs="楷体"/>
          <w:color w:val="auto"/>
          <w:sz w:val="32"/>
          <w:szCs w:val="32"/>
        </w:rPr>
        <w:tab/>
      </w:r>
      <w:r>
        <w:rPr>
          <w:rStyle w:val="30"/>
          <w:rFonts w:hint="eastAsia" w:ascii="楷体" w:hAnsi="楷体" w:eastAsia="楷体" w:cs="楷体"/>
          <w:color w:val="auto"/>
          <w:sz w:val="32"/>
          <w:szCs w:val="32"/>
          <w:lang w:val="en-US" w:eastAsia="zh-CN"/>
        </w:rPr>
        <w:t>5</w:t>
      </w:r>
      <w:r>
        <w:rPr>
          <w:rStyle w:val="30"/>
          <w:rFonts w:hint="eastAsia" w:ascii="楷体" w:hAnsi="楷体" w:eastAsia="楷体" w:cs="楷体"/>
          <w:color w:val="auto"/>
          <w:sz w:val="32"/>
          <w:szCs w:val="32"/>
        </w:rPr>
        <w:fldChar w:fldCharType="end"/>
      </w:r>
      <w:r>
        <w:rPr>
          <w:rStyle w:val="30"/>
          <w:rFonts w:hint="eastAsia" w:ascii="楷体" w:hAnsi="楷体" w:eastAsia="楷体" w:cs="楷体"/>
          <w:color w:val="auto"/>
          <w:sz w:val="32"/>
          <w:szCs w:val="32"/>
          <w:lang w:val="en-US" w:eastAsia="zh-CN"/>
        </w:rPr>
        <w:t>5</w:t>
      </w:r>
    </w:p>
    <w:p>
      <w:pPr>
        <w:pStyle w:val="17"/>
        <w:spacing w:line="560" w:lineRule="exact"/>
        <w:ind w:firstLine="0"/>
        <w:rPr>
          <w:rStyle w:val="30"/>
          <w:rFonts w:hint="eastAsia" w:ascii="黑体" w:hAnsi="黑体" w:eastAsia="黑体" w:cs="黑体"/>
          <w:color w:val="auto"/>
          <w:sz w:val="32"/>
          <w:szCs w:val="32"/>
          <w:lang w:val="en-US" w:eastAsia="zh-CN"/>
        </w:rPr>
      </w:pPr>
      <w:r>
        <w:rPr>
          <w:color w:val="auto"/>
        </w:rPr>
        <w:fldChar w:fldCharType="begin"/>
      </w:r>
      <w:r>
        <w:rPr>
          <w:color w:val="auto"/>
        </w:rPr>
        <w:instrText xml:space="preserve"> HYPERLINK \l "_Toc2535" </w:instrText>
      </w:r>
      <w:r>
        <w:rPr>
          <w:color w:val="auto"/>
        </w:rPr>
        <w:fldChar w:fldCharType="separate"/>
      </w:r>
      <w:r>
        <w:rPr>
          <w:rStyle w:val="30"/>
          <w:rFonts w:hint="eastAsia" w:ascii="黑体" w:hAnsi="黑体" w:eastAsia="黑体" w:cs="黑体"/>
          <w:color w:val="auto"/>
          <w:sz w:val="32"/>
          <w:szCs w:val="32"/>
        </w:rPr>
        <w:t>附件 安康市“十四五”期间重点领域科技创新指南</w:t>
      </w:r>
      <w:r>
        <w:rPr>
          <w:rStyle w:val="30"/>
          <w:rFonts w:hint="eastAsia" w:ascii="黑体" w:hAnsi="黑体" w:eastAsia="黑体" w:cs="黑体"/>
          <w:color w:val="auto"/>
          <w:sz w:val="32"/>
          <w:szCs w:val="32"/>
        </w:rPr>
        <w:tab/>
      </w:r>
      <w:r>
        <w:rPr>
          <w:rStyle w:val="30"/>
          <w:rFonts w:hint="eastAsia" w:ascii="黑体" w:hAnsi="黑体" w:eastAsia="黑体" w:cs="黑体"/>
          <w:color w:val="auto"/>
          <w:sz w:val="32"/>
          <w:szCs w:val="32"/>
          <w:lang w:val="en-US" w:eastAsia="zh-CN"/>
        </w:rPr>
        <w:t>5</w:t>
      </w:r>
      <w:r>
        <w:rPr>
          <w:rStyle w:val="30"/>
          <w:rFonts w:hint="eastAsia" w:ascii="黑体" w:hAnsi="黑体" w:eastAsia="黑体" w:cs="黑体"/>
          <w:color w:val="auto"/>
          <w:sz w:val="32"/>
          <w:szCs w:val="32"/>
        </w:rPr>
        <w:fldChar w:fldCharType="end"/>
      </w:r>
      <w:r>
        <w:rPr>
          <w:rStyle w:val="30"/>
          <w:rFonts w:hint="eastAsia" w:ascii="黑体" w:hAnsi="黑体" w:eastAsia="黑体" w:cs="黑体"/>
          <w:color w:val="auto"/>
          <w:sz w:val="32"/>
          <w:szCs w:val="32"/>
          <w:lang w:val="en-US" w:eastAsia="zh-CN"/>
        </w:rPr>
        <w:t>6</w:t>
      </w:r>
    </w:p>
    <w:p>
      <w:pPr>
        <w:pStyle w:val="17"/>
        <w:spacing w:line="560" w:lineRule="exact"/>
        <w:ind w:firstLine="0"/>
        <w:rPr>
          <w:rStyle w:val="30"/>
          <w:rFonts w:ascii="Calibri" w:hAnsi="Calibri" w:eastAsia="宋体"/>
          <w:color w:val="auto"/>
          <w:sz w:val="32"/>
          <w:szCs w:val="32"/>
        </w:rPr>
      </w:pPr>
      <w:r>
        <w:rPr>
          <w:rStyle w:val="30"/>
          <w:rFonts w:ascii="Calibri" w:hAnsi="Calibri" w:eastAsia="宋体"/>
          <w:color w:val="auto"/>
          <w:sz w:val="32"/>
          <w:szCs w:val="32"/>
        </w:rPr>
        <w:fldChar w:fldCharType="end"/>
      </w:r>
    </w:p>
    <w:p>
      <w:pPr>
        <w:pStyle w:val="17"/>
        <w:spacing w:line="560" w:lineRule="exact"/>
        <w:ind w:firstLine="0"/>
        <w:jc w:val="center"/>
        <w:rPr>
          <w:rFonts w:ascii="Times New Roman" w:hAnsi="Times New Roman" w:eastAsia="黑体"/>
          <w:color w:val="auto"/>
          <w:kern w:val="0"/>
          <w:sz w:val="32"/>
          <w:szCs w:val="32"/>
          <w:lang w:val="zh-CN"/>
        </w:rPr>
      </w:pPr>
      <w:r>
        <w:rPr>
          <w:rFonts w:hint="eastAsia" w:ascii="Times New Roman" w:hAnsi="Times New Roman" w:eastAsia="黑体"/>
          <w:color w:val="auto"/>
          <w:kern w:val="0"/>
          <w:sz w:val="32"/>
          <w:szCs w:val="32"/>
          <w:lang w:val="zh-CN"/>
        </w:rPr>
        <w:t>专栏目录</w:t>
      </w:r>
    </w:p>
    <w:p>
      <w:pPr>
        <w:pStyle w:val="17"/>
        <w:spacing w:line="560" w:lineRule="exact"/>
        <w:ind w:firstLine="0"/>
        <w:rPr>
          <w:rStyle w:val="30"/>
          <w:rFonts w:ascii="黑体" w:hAnsi="黑体" w:eastAsia="黑体" w:cs="黑体"/>
          <w:color w:val="auto"/>
          <w:szCs w:val="24"/>
        </w:rPr>
      </w:pPr>
      <w:r>
        <w:rPr>
          <w:rStyle w:val="30"/>
          <w:rFonts w:hint="eastAsia" w:ascii="黑体" w:hAnsi="黑体" w:eastAsia="黑体" w:cs="黑体"/>
          <w:color w:val="auto"/>
          <w:szCs w:val="24"/>
        </w:rPr>
        <w:fldChar w:fldCharType="begin"/>
      </w:r>
      <w:r>
        <w:rPr>
          <w:rStyle w:val="30"/>
          <w:rFonts w:hint="eastAsia" w:ascii="黑体" w:hAnsi="黑体" w:eastAsia="黑体" w:cs="黑体"/>
          <w:color w:val="auto"/>
          <w:szCs w:val="24"/>
        </w:rPr>
        <w:instrText xml:space="preserve"> TOC \h \z \c "专栏"</w:instrText>
      </w:r>
      <w:r>
        <w:rPr>
          <w:rStyle w:val="30"/>
          <w:rFonts w:hint="eastAsia" w:ascii="黑体" w:hAnsi="黑体" w:eastAsia="黑体" w:cs="黑体"/>
          <w:color w:val="auto"/>
          <w:szCs w:val="24"/>
        </w:rPr>
        <w:fldChar w:fldCharType="separate"/>
      </w:r>
      <w:r>
        <w:rPr>
          <w:color w:val="auto"/>
        </w:rPr>
        <w:fldChar w:fldCharType="begin"/>
      </w:r>
      <w:r>
        <w:rPr>
          <w:color w:val="auto"/>
        </w:rPr>
        <w:instrText xml:space="preserve"> HYPERLINK \l "_Toc75529317" </w:instrText>
      </w:r>
      <w:r>
        <w:rPr>
          <w:color w:val="auto"/>
        </w:rPr>
        <w:fldChar w:fldCharType="separate"/>
      </w:r>
      <w:r>
        <w:rPr>
          <w:rStyle w:val="30"/>
          <w:rFonts w:hint="eastAsia" w:ascii="黑体" w:hAnsi="黑体" w:eastAsia="黑体" w:cs="黑体"/>
          <w:color w:val="auto"/>
          <w:szCs w:val="24"/>
        </w:rPr>
        <w:t>专栏 1  创新平台提升工程</w:t>
      </w:r>
      <w:r>
        <w:rPr>
          <w:rStyle w:val="30"/>
          <w:rFonts w:hint="eastAsia" w:ascii="黑体" w:hAnsi="黑体" w:eastAsia="黑体" w:cs="黑体"/>
          <w:color w:val="auto"/>
          <w:szCs w:val="24"/>
        </w:rPr>
        <w:tab/>
      </w:r>
      <w:r>
        <w:rPr>
          <w:rStyle w:val="30"/>
          <w:rFonts w:hint="eastAsia" w:ascii="黑体" w:hAnsi="黑体" w:eastAsia="黑体" w:cs="黑体"/>
          <w:color w:val="auto"/>
          <w:szCs w:val="24"/>
        </w:rPr>
        <w:fldChar w:fldCharType="begin"/>
      </w:r>
      <w:r>
        <w:rPr>
          <w:rStyle w:val="30"/>
          <w:rFonts w:hint="eastAsia" w:ascii="黑体" w:hAnsi="黑体" w:eastAsia="黑体" w:cs="黑体"/>
          <w:color w:val="auto"/>
          <w:szCs w:val="24"/>
        </w:rPr>
        <w:instrText xml:space="preserve"> PAGEREF _Toc75529317 \h </w:instrText>
      </w:r>
      <w:r>
        <w:rPr>
          <w:rStyle w:val="30"/>
          <w:rFonts w:hint="eastAsia" w:ascii="黑体" w:hAnsi="黑体" w:eastAsia="黑体" w:cs="黑体"/>
          <w:color w:val="auto"/>
          <w:szCs w:val="24"/>
        </w:rPr>
        <w:fldChar w:fldCharType="separate"/>
      </w:r>
      <w:r>
        <w:rPr>
          <w:rStyle w:val="30"/>
          <w:rFonts w:hint="eastAsia" w:ascii="黑体" w:hAnsi="黑体" w:eastAsia="黑体" w:cs="黑体"/>
          <w:color w:val="auto"/>
          <w:szCs w:val="24"/>
        </w:rPr>
        <w:t>17</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rPr>
        <w:fldChar w:fldCharType="end"/>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"_Toc75529318" </w:instrText>
      </w:r>
      <w:r>
        <w:rPr>
          <w:color w:val="auto"/>
        </w:rPr>
        <w:fldChar w:fldCharType="separate"/>
      </w:r>
      <w:r>
        <w:rPr>
          <w:rStyle w:val="30"/>
          <w:rFonts w:hint="eastAsia" w:ascii="黑体" w:hAnsi="黑体" w:eastAsia="黑体" w:cs="黑体"/>
          <w:color w:val="auto"/>
          <w:szCs w:val="24"/>
        </w:rPr>
        <w:t>专栏 2  创新主体培育工程</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2</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3</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"_Toc75529319" </w:instrText>
      </w:r>
      <w:r>
        <w:rPr>
          <w:color w:val="auto"/>
        </w:rPr>
        <w:fldChar w:fldCharType="separate"/>
      </w:r>
      <w:r>
        <w:rPr>
          <w:rStyle w:val="30"/>
          <w:rFonts w:hint="eastAsia" w:ascii="黑体" w:hAnsi="黑体" w:eastAsia="黑体" w:cs="黑体"/>
          <w:color w:val="auto"/>
          <w:szCs w:val="24"/>
        </w:rPr>
        <w:t>专栏 3  富硒产业重大科技攻关行动</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2</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5</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"_Toc75529320" </w:instrText>
      </w:r>
      <w:r>
        <w:rPr>
          <w:color w:val="auto"/>
        </w:rPr>
        <w:fldChar w:fldCharType="separate"/>
      </w:r>
      <w:r>
        <w:rPr>
          <w:rStyle w:val="30"/>
          <w:rFonts w:hint="eastAsia" w:ascii="黑体" w:hAnsi="黑体" w:eastAsia="黑体" w:cs="黑体"/>
          <w:color w:val="auto"/>
          <w:szCs w:val="24"/>
        </w:rPr>
        <w:t>专栏 4  科技支撑生物医药健康产业发展行动</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2</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7</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"_Toc75529321" </w:instrText>
      </w:r>
      <w:r>
        <w:rPr>
          <w:color w:val="auto"/>
        </w:rPr>
        <w:fldChar w:fldCharType="separate"/>
      </w:r>
      <w:r>
        <w:rPr>
          <w:rStyle w:val="30"/>
          <w:rFonts w:hint="eastAsia" w:ascii="黑体" w:hAnsi="黑体" w:eastAsia="黑体" w:cs="黑体"/>
          <w:color w:val="auto"/>
          <w:szCs w:val="24"/>
        </w:rPr>
        <w:t>专栏 5  新型材料产业重大科技攻关行动</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2</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8</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"_Toc75529322" </w:instrText>
      </w:r>
      <w:r>
        <w:rPr>
          <w:color w:val="auto"/>
        </w:rPr>
        <w:fldChar w:fldCharType="separate"/>
      </w:r>
      <w:r>
        <w:rPr>
          <w:rStyle w:val="30"/>
          <w:rFonts w:hint="eastAsia" w:ascii="黑体" w:hAnsi="黑体" w:eastAsia="黑体" w:cs="黑体"/>
          <w:color w:val="auto"/>
          <w:szCs w:val="24"/>
        </w:rPr>
        <w:t>专栏 6  重点产业创新工程</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3</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0</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"_Toc75529323" </w:instrText>
      </w:r>
      <w:r>
        <w:rPr>
          <w:color w:val="auto"/>
        </w:rPr>
        <w:fldChar w:fldCharType="separate"/>
      </w:r>
      <w:r>
        <w:rPr>
          <w:rStyle w:val="30"/>
          <w:rFonts w:hint="eastAsia" w:ascii="黑体" w:hAnsi="黑体" w:eastAsia="黑体" w:cs="黑体"/>
          <w:color w:val="auto"/>
          <w:szCs w:val="24"/>
        </w:rPr>
        <w:t>专栏 7  乡村振兴支撑工程</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3</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7</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"_Toc75529324" </w:instrText>
      </w:r>
      <w:r>
        <w:rPr>
          <w:color w:val="auto"/>
        </w:rPr>
        <w:fldChar w:fldCharType="separate"/>
      </w:r>
      <w:r>
        <w:rPr>
          <w:rStyle w:val="30"/>
          <w:rFonts w:hint="eastAsia" w:ascii="黑体" w:hAnsi="黑体" w:eastAsia="黑体" w:cs="黑体"/>
          <w:color w:val="auto"/>
          <w:szCs w:val="24"/>
        </w:rPr>
        <w:t>专栏 8  科技队伍强基工程</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4</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7</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"_Toc75529325" </w:instrText>
      </w:r>
      <w:r>
        <w:rPr>
          <w:color w:val="auto"/>
        </w:rPr>
        <w:fldChar w:fldCharType="separate"/>
      </w:r>
      <w:r>
        <w:rPr>
          <w:rStyle w:val="30"/>
          <w:rFonts w:hint="eastAsia" w:ascii="黑体" w:hAnsi="黑体" w:eastAsia="黑体" w:cs="黑体"/>
          <w:color w:val="auto"/>
          <w:szCs w:val="24"/>
        </w:rPr>
        <w:t>专栏 9  科技人才引育工程</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4</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9</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"_Toc75529326" </w:instrText>
      </w:r>
      <w:r>
        <w:rPr>
          <w:color w:val="auto"/>
        </w:rPr>
        <w:fldChar w:fldCharType="separate"/>
      </w:r>
      <w:r>
        <w:rPr>
          <w:rStyle w:val="30"/>
          <w:rFonts w:hint="eastAsia" w:ascii="黑体" w:hAnsi="黑体" w:eastAsia="黑体" w:cs="黑体"/>
          <w:color w:val="auto"/>
          <w:szCs w:val="24"/>
        </w:rPr>
        <w:t>专栏 10 科技金融融合工程</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5</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1</w:t>
      </w:r>
    </w:p>
    <w:p>
      <w:pPr>
        <w:pStyle w:val="17"/>
        <w:spacing w:line="560" w:lineRule="exact"/>
        <w:ind w:firstLine="0"/>
        <w:rPr>
          <w:rStyle w:val="30"/>
          <w:rFonts w:hint="eastAsia" w:ascii="黑体" w:hAnsi="黑体" w:eastAsia="黑体" w:cs="黑体"/>
          <w:color w:val="auto"/>
          <w:szCs w:val="24"/>
          <w:lang w:val="en-US" w:eastAsia="zh-CN"/>
        </w:rPr>
      </w:pPr>
      <w:r>
        <w:rPr>
          <w:color w:val="auto"/>
        </w:rPr>
        <w:fldChar w:fldCharType="begin"/>
      </w:r>
      <w:r>
        <w:rPr>
          <w:color w:val="auto"/>
        </w:rPr>
        <w:instrText xml:space="preserve"> HYPERLINK \l "_Toc75529327" </w:instrText>
      </w:r>
      <w:r>
        <w:rPr>
          <w:color w:val="auto"/>
        </w:rPr>
        <w:fldChar w:fldCharType="separate"/>
      </w:r>
      <w:r>
        <w:rPr>
          <w:rStyle w:val="30"/>
          <w:rFonts w:hint="eastAsia" w:ascii="黑体" w:hAnsi="黑体" w:eastAsia="黑体" w:cs="黑体"/>
          <w:color w:val="auto"/>
          <w:szCs w:val="24"/>
        </w:rPr>
        <w:t>专栏 11 科技成果转化工程</w:t>
      </w:r>
      <w:r>
        <w:rPr>
          <w:rStyle w:val="30"/>
          <w:rFonts w:hint="eastAsia" w:ascii="黑体" w:hAnsi="黑体" w:eastAsia="黑体" w:cs="黑体"/>
          <w:color w:val="auto"/>
          <w:szCs w:val="24"/>
        </w:rPr>
        <w:tab/>
      </w:r>
      <w:r>
        <w:rPr>
          <w:rStyle w:val="30"/>
          <w:rFonts w:hint="eastAsia" w:ascii="黑体" w:hAnsi="黑体" w:eastAsia="黑体" w:cs="黑体"/>
          <w:color w:val="auto"/>
          <w:szCs w:val="24"/>
          <w:lang w:val="en-US" w:eastAsia="zh-CN"/>
        </w:rPr>
        <w:t>5</w:t>
      </w:r>
      <w:r>
        <w:rPr>
          <w:rStyle w:val="30"/>
          <w:rFonts w:hint="eastAsia" w:ascii="黑体" w:hAnsi="黑体" w:eastAsia="黑体" w:cs="黑体"/>
          <w:color w:val="auto"/>
          <w:szCs w:val="24"/>
        </w:rPr>
        <w:fldChar w:fldCharType="end"/>
      </w:r>
      <w:r>
        <w:rPr>
          <w:rStyle w:val="30"/>
          <w:rFonts w:hint="eastAsia" w:ascii="黑体" w:hAnsi="黑体" w:eastAsia="黑体" w:cs="黑体"/>
          <w:color w:val="auto"/>
          <w:szCs w:val="24"/>
          <w:lang w:val="en-US" w:eastAsia="zh-CN"/>
        </w:rPr>
        <w:t>3</w:t>
      </w:r>
    </w:p>
    <w:p>
      <w:pPr>
        <w:pStyle w:val="17"/>
        <w:spacing w:line="560" w:lineRule="exact"/>
        <w:ind w:firstLine="0"/>
        <w:rPr>
          <w:rStyle w:val="30"/>
          <w:rFonts w:ascii="黑体" w:hAnsi="黑体" w:eastAsia="黑体" w:cs="黑体"/>
          <w:color w:val="auto"/>
          <w:sz w:val="32"/>
          <w:szCs w:val="32"/>
        </w:rPr>
      </w:pPr>
      <w:r>
        <w:rPr>
          <w:rStyle w:val="30"/>
          <w:rFonts w:hint="eastAsia" w:ascii="黑体" w:hAnsi="黑体" w:eastAsia="黑体" w:cs="黑体"/>
          <w:color w:val="auto"/>
          <w:szCs w:val="24"/>
        </w:rPr>
        <w:fldChar w:fldCharType="end"/>
      </w:r>
    </w:p>
    <w:p>
      <w:pPr>
        <w:pStyle w:val="17"/>
        <w:spacing w:line="560" w:lineRule="exact"/>
        <w:ind w:firstLine="0"/>
        <w:rPr>
          <w:rStyle w:val="30"/>
          <w:rFonts w:ascii="Calibri" w:hAnsi="Calibri" w:eastAsia="宋体"/>
          <w:color w:val="auto"/>
          <w:sz w:val="32"/>
          <w:szCs w:val="32"/>
        </w:rPr>
      </w:pPr>
    </w:p>
    <w:p>
      <w:pPr>
        <w:tabs>
          <w:tab w:val="center" w:pos="4153"/>
        </w:tabs>
        <w:spacing w:line="560" w:lineRule="exact"/>
        <w:rPr>
          <w:color w:val="auto"/>
        </w:rPr>
      </w:pPr>
    </w:p>
    <w:p>
      <w:pPr>
        <w:tabs>
          <w:tab w:val="center" w:pos="4153"/>
        </w:tabs>
        <w:spacing w:line="560" w:lineRule="exact"/>
        <w:rPr>
          <w:color w:val="auto"/>
        </w:rPr>
      </w:pPr>
    </w:p>
    <w:p>
      <w:pPr>
        <w:tabs>
          <w:tab w:val="center" w:pos="4153"/>
        </w:tabs>
        <w:spacing w:line="560" w:lineRule="exact"/>
        <w:rPr>
          <w:color w:val="auto"/>
        </w:rPr>
      </w:pPr>
    </w:p>
    <w:p>
      <w:pPr>
        <w:tabs>
          <w:tab w:val="center" w:pos="4153"/>
        </w:tabs>
        <w:spacing w:line="560" w:lineRule="exact"/>
        <w:rPr>
          <w:color w:val="auto"/>
        </w:rPr>
      </w:pPr>
    </w:p>
    <w:p>
      <w:pPr>
        <w:tabs>
          <w:tab w:val="center" w:pos="4153"/>
        </w:tabs>
        <w:spacing w:line="560" w:lineRule="exact"/>
        <w:rPr>
          <w:color w:val="auto"/>
        </w:rPr>
      </w:pPr>
    </w:p>
    <w:p>
      <w:pPr>
        <w:tabs>
          <w:tab w:val="center" w:pos="4153"/>
        </w:tabs>
        <w:spacing w:line="560" w:lineRule="exact"/>
        <w:rPr>
          <w:color w:val="auto"/>
        </w:rPr>
      </w:pPr>
    </w:p>
    <w:p>
      <w:pPr>
        <w:tabs>
          <w:tab w:val="center" w:pos="4153"/>
        </w:tabs>
        <w:spacing w:line="560" w:lineRule="exact"/>
        <w:rPr>
          <w:color w:val="auto"/>
        </w:rPr>
      </w:pPr>
    </w:p>
    <w:p>
      <w:pPr>
        <w:pStyle w:val="3"/>
        <w:spacing w:after="312" w:line="560" w:lineRule="exact"/>
        <w:rPr>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1" w:name="_Toc67060716"/>
      <w:bookmarkStart w:id="2" w:name="_Toc65350298"/>
      <w:bookmarkStart w:id="3" w:name="_Toc65239452"/>
      <w:bookmarkStart w:id="4" w:name="_Toc65437799"/>
      <w:bookmarkStart w:id="5" w:name="_Toc71835924"/>
      <w:bookmarkStart w:id="6" w:name="_Toc65241374"/>
      <w:bookmarkStart w:id="7" w:name="_Toc23874"/>
    </w:p>
    <w:p>
      <w:pPr>
        <w:pStyle w:val="3"/>
        <w:spacing w:after="312" w:line="560" w:lineRule="exact"/>
        <w:rPr>
          <w:color w:val="auto"/>
        </w:rPr>
      </w:pPr>
      <w:r>
        <w:rPr>
          <w:rFonts w:hint="eastAsia"/>
          <w:color w:val="auto"/>
        </w:rPr>
        <w:t>第一章 发展基础</w:t>
      </w:r>
      <w:bookmarkEnd w:id="1"/>
      <w:bookmarkEnd w:id="2"/>
      <w:bookmarkEnd w:id="3"/>
      <w:bookmarkEnd w:id="4"/>
      <w:bookmarkEnd w:id="5"/>
      <w:bookmarkEnd w:id="6"/>
      <w:r>
        <w:rPr>
          <w:rFonts w:hint="eastAsia"/>
          <w:color w:val="auto"/>
        </w:rPr>
        <w:t>与总体要求</w:t>
      </w:r>
      <w:bookmarkEnd w:id="7"/>
    </w:p>
    <w:p>
      <w:pPr>
        <w:pStyle w:val="4"/>
        <w:spacing w:line="560" w:lineRule="exact"/>
        <w:rPr>
          <w:rFonts w:ascii="黑体" w:hAnsi="黑体" w:cs="黑体"/>
          <w:color w:val="auto"/>
        </w:rPr>
      </w:pPr>
      <w:bookmarkStart w:id="8" w:name="_Toc282"/>
      <w:r>
        <w:rPr>
          <w:rFonts w:hint="eastAsia" w:ascii="黑体" w:hAnsi="黑体" w:cs="黑体"/>
          <w:color w:val="auto"/>
        </w:rPr>
        <w:t>第一节 发展基础</w:t>
      </w:r>
      <w:bookmarkEnd w:id="8"/>
    </w:p>
    <w:p>
      <w:pPr>
        <w:spacing w:line="560" w:lineRule="exact"/>
        <w:ind w:firstLine="640" w:firstLineChars="200"/>
        <w:rPr>
          <w:rFonts w:eastAsia="仿宋_GB2312"/>
          <w:color w:val="auto"/>
          <w:szCs w:val="32"/>
        </w:rPr>
      </w:pPr>
      <w:r>
        <w:rPr>
          <w:rFonts w:hint="eastAsia" w:eastAsia="仿宋_GB2312"/>
          <w:color w:val="auto"/>
          <w:szCs w:val="32"/>
        </w:rPr>
        <w:t>“十三五”时期，全市科技工作紧紧围绕“追赶超越、绿色崛起”发展总纲，大力实施创新驱动发展战略，规划确定的主要目标基本完成，科技创新对全市经济社会高质量发展的引领支撑作用日益凸显。</w:t>
      </w:r>
    </w:p>
    <w:p>
      <w:pPr>
        <w:spacing w:line="560" w:lineRule="exact"/>
        <w:ind w:firstLine="643" w:firstLineChars="200"/>
        <w:rPr>
          <w:rFonts w:hint="eastAsia" w:ascii="仿宋_GB2312" w:hAnsi="仿宋_GB2312" w:eastAsia="仿宋_GB2312" w:cs="仿宋_GB2312"/>
          <w:color w:val="auto"/>
        </w:rPr>
      </w:pPr>
      <w:bookmarkStart w:id="9" w:name="_Toc65241378"/>
      <w:bookmarkStart w:id="10" w:name="_Toc65350302"/>
      <w:bookmarkStart w:id="11" w:name="_Toc65241376"/>
      <w:bookmarkStart w:id="12" w:name="_Toc65350300"/>
      <w:r>
        <w:rPr>
          <w:rFonts w:hint="eastAsia" w:ascii="仿宋_GB2312" w:hAnsi="仿宋_GB2312" w:eastAsia="仿宋_GB2312" w:cs="仿宋_GB2312"/>
          <w:b/>
          <w:bCs/>
          <w:color w:val="auto"/>
        </w:rPr>
        <w:t>科研经费投入显著提高</w:t>
      </w:r>
      <w:bookmarkEnd w:id="9"/>
      <w:bookmarkEnd w:id="10"/>
      <w:r>
        <w:rPr>
          <w:rFonts w:hint="eastAsia" w:ascii="仿宋_GB2312" w:hAnsi="仿宋_GB2312" w:eastAsia="仿宋_GB2312" w:cs="仿宋_GB2312"/>
          <w:b/>
          <w:bCs/>
          <w:color w:val="auto"/>
        </w:rPr>
        <w:t>。</w:t>
      </w:r>
      <w:r>
        <w:rPr>
          <w:rFonts w:hint="eastAsia" w:ascii="仿宋_GB2312" w:hAnsi="仿宋_GB2312" w:eastAsia="仿宋_GB2312" w:cs="仿宋_GB2312"/>
          <w:color w:val="auto"/>
          <w:szCs w:val="32"/>
        </w:rPr>
        <w:t>全社会研究与试验发展（R&amp;D）经费强度由0.15%提高到0.52%，其中规模以上工业企业研究与试验发展（R&amp;D）经费占主营业务收入比重由0.09%提高到0.3%。地方财政科技支出占财政支出比重达到0.35%。</w:t>
      </w:r>
    </w:p>
    <w:p>
      <w:pPr>
        <w:snapToGrid w:val="0"/>
        <w:spacing w:line="560" w:lineRule="exact"/>
        <w:ind w:firstLine="643" w:firstLineChars="200"/>
        <w:jc w:val="left"/>
        <w:rPr>
          <w:rFonts w:hint="eastAsia" w:ascii="仿宋_GB2312" w:hAnsi="仿宋_GB2312" w:eastAsia="仿宋_GB2312" w:cs="仿宋_GB2312"/>
          <w:color w:val="auto"/>
          <w:szCs w:val="32"/>
        </w:rPr>
      </w:pPr>
      <w:bookmarkStart w:id="13" w:name="_Toc65350301"/>
      <w:bookmarkStart w:id="14" w:name="_Toc65241377"/>
      <w:r>
        <w:rPr>
          <w:rFonts w:hint="eastAsia" w:ascii="仿宋_GB2312" w:hAnsi="仿宋_GB2312" w:eastAsia="仿宋_GB2312" w:cs="仿宋_GB2312"/>
          <w:b/>
          <w:bCs/>
          <w:color w:val="auto"/>
        </w:rPr>
        <w:t>科技人才支撑持续加强</w:t>
      </w:r>
      <w:bookmarkEnd w:id="13"/>
      <w:bookmarkEnd w:id="14"/>
      <w:r>
        <w:rPr>
          <w:rFonts w:hint="eastAsia" w:ascii="仿宋_GB2312" w:hAnsi="仿宋_GB2312" w:eastAsia="仿宋_GB2312" w:cs="仿宋_GB2312"/>
          <w:b/>
          <w:bCs/>
          <w:color w:val="auto"/>
        </w:rPr>
        <w:t>。</w:t>
      </w:r>
      <w:r>
        <w:rPr>
          <w:rFonts w:hint="eastAsia" w:ascii="仿宋_GB2312" w:hAnsi="仿宋_GB2312" w:eastAsia="仿宋_GB2312" w:cs="仿宋_GB2312"/>
          <w:color w:val="auto"/>
          <w:szCs w:val="32"/>
        </w:rPr>
        <w:t>累计培育陕西省青年科技新星5名、中青年科技创新领军人才6名、科技创新创业人才5名，创业导师12名。柔性引进外国专家2名。累计选派“三区”科技人才600多人次，争取省级专项资金1200余万元。获批国家、陕西省外国专家服务计划项目6项，项目资金58万元。2019年全市研究与试验发展（R&amp;D）活动研究人员达到2342人，万人研究与试验发展（R&amp;D）人员数达到5.29人年。</w:t>
      </w:r>
    </w:p>
    <w:p>
      <w:pPr>
        <w:snapToGrid w:val="0"/>
        <w:spacing w:line="560" w:lineRule="exact"/>
        <w:ind w:firstLine="643" w:firstLineChars="200"/>
        <w:rPr>
          <w:rFonts w:ascii="仿宋" w:hAnsi="仿宋" w:cs="仿宋_GB2312"/>
          <w:color w:val="auto"/>
          <w:sz w:val="28"/>
          <w:szCs w:val="28"/>
        </w:rPr>
      </w:pPr>
      <w:bookmarkStart w:id="15" w:name="_Toc65241379"/>
      <w:bookmarkStart w:id="16" w:name="_Toc65350303"/>
      <w:r>
        <w:rPr>
          <w:rFonts w:hint="eastAsia" w:ascii="仿宋_GB2312" w:hAnsi="仿宋_GB2312" w:eastAsia="仿宋_GB2312" w:cs="仿宋_GB2312"/>
          <w:b/>
          <w:bCs/>
          <w:color w:val="auto"/>
        </w:rPr>
        <w:t>创新平台建设卓有成效</w:t>
      </w:r>
      <w:bookmarkEnd w:id="15"/>
      <w:bookmarkEnd w:id="16"/>
      <w:r>
        <w:rPr>
          <w:rFonts w:hint="eastAsia" w:ascii="仿宋_GB2312" w:hAnsi="仿宋_GB2312" w:eastAsia="仿宋_GB2312" w:cs="仿宋_GB2312"/>
          <w:b/>
          <w:bCs/>
          <w:color w:val="auto"/>
        </w:rPr>
        <w:t>。</w:t>
      </w:r>
      <w:r>
        <w:rPr>
          <w:rFonts w:hint="eastAsia" w:ascii="仿宋_GB2312" w:hAnsi="仿宋_GB2312" w:eastAsia="仿宋_GB2312" w:cs="仿宋_GB2312"/>
          <w:color w:val="auto"/>
          <w:szCs w:val="32"/>
        </w:rPr>
        <w:t>汉阴农业科技园区获批为国家级农业科技园区，旬阳高新区获批为省级高新技术产业开发区。建成重点实验室、工程技术研究中心、“四主体一联合”、众创空间、星创天地、科技企业孵化器、产业技术创新战略联盟等各级各类科技创新平台73个，其中，国家级科技创新平台10个、省级科技创新平台25个。现有高新技术企业64家，入库国家级科技型中小企业225家。</w:t>
      </w:r>
    </w:p>
    <w:p>
      <w:pPr>
        <w:snapToGrid w:val="0"/>
        <w:spacing w:line="560" w:lineRule="exact"/>
        <w:ind w:firstLine="643" w:firstLineChars="200"/>
        <w:rPr>
          <w:rFonts w:eastAsia="仿宋_GB2312"/>
          <w:color w:val="auto"/>
          <w:szCs w:val="32"/>
        </w:rPr>
      </w:pPr>
      <w:r>
        <w:rPr>
          <w:rFonts w:hint="eastAsia" w:ascii="仿宋_GB2312" w:hAnsi="仿宋_GB2312" w:eastAsia="仿宋_GB2312" w:cs="仿宋_GB2312"/>
          <w:b/>
          <w:bCs/>
          <w:color w:val="auto"/>
        </w:rPr>
        <w:t>科技创新环境不断优化</w:t>
      </w:r>
      <w:bookmarkEnd w:id="11"/>
      <w:bookmarkEnd w:id="12"/>
      <w:r>
        <w:rPr>
          <w:rFonts w:hint="eastAsia" w:ascii="仿宋_GB2312" w:hAnsi="仿宋_GB2312" w:eastAsia="仿宋_GB2312" w:cs="仿宋_GB2312"/>
          <w:b/>
          <w:bCs/>
          <w:color w:val="auto"/>
        </w:rPr>
        <w:t>。</w:t>
      </w:r>
      <w:r>
        <w:rPr>
          <w:rFonts w:hint="eastAsia" w:eastAsia="仿宋_GB2312"/>
          <w:color w:val="auto"/>
          <w:szCs w:val="32"/>
        </w:rPr>
        <w:t>积极做好科技创新政策的跟进落实，先后制定出台了《安康市人民政府关于推进科技创新实施创新驱动发展的意见》《安康市促进科技成果转化实施办法》《安康市众创空间管理办法（暂行）》《安康市企业创新工程实施方案》《安康市科技扶贫工作实施方案》《安康市科技计划项目管理办法》《安康市科技特派员制度实施方案》《安康市科技型企业创新能力提升三年行动计划》等一系列政策制度，为加快全市科技创新提供了制度保障。</w:t>
      </w:r>
    </w:p>
    <w:p>
      <w:pPr>
        <w:snapToGrid w:val="0"/>
        <w:spacing w:line="560" w:lineRule="exact"/>
        <w:ind w:firstLine="643" w:firstLineChars="200"/>
        <w:rPr>
          <w:rFonts w:ascii="仿宋" w:hAnsi="仿宋" w:cs="仿宋_GB2312"/>
          <w:color w:val="auto"/>
          <w:sz w:val="28"/>
          <w:szCs w:val="28"/>
        </w:rPr>
      </w:pPr>
      <w:bookmarkStart w:id="17" w:name="_Toc65241380"/>
      <w:bookmarkStart w:id="18" w:name="_Toc65350304"/>
      <w:r>
        <w:rPr>
          <w:rFonts w:hint="eastAsia" w:ascii="仿宋_GB2312" w:hAnsi="仿宋_GB2312" w:eastAsia="仿宋_GB2312" w:cs="仿宋_GB2312"/>
          <w:b/>
          <w:bCs/>
          <w:color w:val="auto"/>
        </w:rPr>
        <w:t>科技创新实力稳步提升</w:t>
      </w:r>
      <w:bookmarkEnd w:id="17"/>
      <w:bookmarkEnd w:id="18"/>
      <w:r>
        <w:rPr>
          <w:rFonts w:hint="eastAsia" w:ascii="仿宋_GB2312" w:hAnsi="仿宋_GB2312" w:eastAsia="仿宋_GB2312" w:cs="仿宋_GB2312"/>
          <w:b/>
          <w:bCs/>
          <w:color w:val="auto"/>
        </w:rPr>
        <w:t>。</w:t>
      </w:r>
      <w:r>
        <w:rPr>
          <w:rFonts w:hint="eastAsia" w:ascii="仿宋_GB2312" w:hAnsi="仿宋_GB2312" w:eastAsia="仿宋_GB2312" w:cs="仿宋_GB2312"/>
          <w:color w:val="auto"/>
          <w:szCs w:val="32"/>
        </w:rPr>
        <w:t>获得陕西省科学技术奖21项，其中二等奖5项、三等奖16项；登记科技成果191项。年专利申请量由479件增加到1159件，年专利授权量由340件增加到793件，万人发明专利拥有量0.5件。组织实施各类科技计划项目649项，其中，中、省科技计划项目306项，争取项目经费1.09亿元；市级科技研究发展计划项目343项，下达科学技术研究发展专项经费1105万元。</w:t>
      </w:r>
    </w:p>
    <w:p>
      <w:pPr>
        <w:snapToGrid w:val="0"/>
        <w:spacing w:line="560" w:lineRule="exact"/>
        <w:ind w:firstLine="643" w:firstLineChars="200"/>
        <w:rPr>
          <w:rFonts w:eastAsia="仿宋_GB2312"/>
          <w:color w:val="auto"/>
          <w:szCs w:val="32"/>
        </w:rPr>
      </w:pPr>
      <w:bookmarkStart w:id="19" w:name="_Toc65241381"/>
      <w:bookmarkStart w:id="20" w:name="_Toc65350305"/>
      <w:r>
        <w:rPr>
          <w:rFonts w:hint="eastAsia" w:ascii="仿宋_GB2312" w:hAnsi="仿宋_GB2312" w:eastAsia="仿宋_GB2312" w:cs="仿宋_GB2312"/>
          <w:b/>
          <w:bCs/>
          <w:color w:val="auto"/>
        </w:rPr>
        <w:t>成果转化机制日趋完善</w:t>
      </w:r>
      <w:bookmarkEnd w:id="19"/>
      <w:bookmarkEnd w:id="20"/>
      <w:r>
        <w:rPr>
          <w:rFonts w:hint="eastAsia" w:ascii="仿宋_GB2312" w:hAnsi="仿宋_GB2312" w:eastAsia="仿宋_GB2312" w:cs="仿宋_GB2312"/>
          <w:b/>
          <w:bCs/>
          <w:color w:val="auto"/>
        </w:rPr>
        <w:t>。</w:t>
      </w:r>
      <w:r>
        <w:rPr>
          <w:rFonts w:hint="eastAsia" w:ascii="仿宋_GB2312" w:hAnsi="仿宋_GB2312" w:eastAsia="仿宋_GB2312" w:cs="仿宋_GB2312"/>
          <w:color w:val="auto"/>
          <w:szCs w:val="32"/>
        </w:rPr>
        <w:t>全市技术合同交易额累计达到6.64亿元。有3个县区进入国家知识产权强县试点县和国家传统知识产权保护试点县行列，1家企业被评为国家知识产权优势企业，1家企业被评为陕西省知识产权优势企业，1家企业顺利通过《企业知识产权管理规范》第三方认证，3家企业通过省级验收。设立科技产业基金2支，基金总规模6亿元，到位资金总额2.41亿元，放大效应16.67倍。</w:t>
      </w:r>
    </w:p>
    <w:p>
      <w:pPr>
        <w:snapToGrid w:val="0"/>
        <w:spacing w:line="560" w:lineRule="exact"/>
        <w:ind w:firstLine="643" w:firstLineChars="200"/>
        <w:rPr>
          <w:rFonts w:hint="eastAsia" w:ascii="仿宋_GB2312" w:hAnsi="仿宋_GB2312" w:eastAsia="仿宋_GB2312" w:cs="仿宋_GB2312"/>
          <w:color w:val="auto"/>
          <w:sz w:val="28"/>
          <w:szCs w:val="28"/>
        </w:rPr>
      </w:pPr>
      <w:bookmarkStart w:id="21" w:name="_Toc65241382"/>
      <w:bookmarkStart w:id="22" w:name="_Toc65350306"/>
      <w:r>
        <w:rPr>
          <w:rFonts w:hint="eastAsia" w:ascii="仿宋_GB2312" w:hAnsi="仿宋_GB2312" w:eastAsia="仿宋_GB2312" w:cs="仿宋_GB2312"/>
          <w:b/>
          <w:bCs/>
          <w:color w:val="auto"/>
        </w:rPr>
        <w:t>政产学研合作广泛深入</w:t>
      </w:r>
      <w:bookmarkEnd w:id="21"/>
      <w:bookmarkEnd w:id="22"/>
      <w:r>
        <w:rPr>
          <w:rFonts w:hint="eastAsia" w:ascii="仿宋_GB2312" w:hAnsi="仿宋_GB2312" w:eastAsia="仿宋_GB2312" w:cs="仿宋_GB2312"/>
          <w:b/>
          <w:bCs/>
          <w:color w:val="auto"/>
        </w:rPr>
        <w:t>。</w:t>
      </w:r>
      <w:r>
        <w:rPr>
          <w:rFonts w:hint="eastAsia" w:ascii="仿宋_GB2312" w:hAnsi="仿宋_GB2312" w:eastAsia="仿宋_GB2312" w:cs="仿宋_GB2312"/>
          <w:color w:val="auto"/>
          <w:szCs w:val="32"/>
        </w:rPr>
        <w:t>先后与中国农科院、西北农林科技大学、中国地质大学等20余所高校、科研单位签订了科技合作协议。建成院士工作站9个、专家工作站51个；联合建立工程技术研究中心、重点实验室、试验示范站等科研平台30个。76家企业与省内外74所高校、科研单位建立了产学研合作关系，合作技术项目81项。创建陕西省国际合作基地1个。围绕区域主导产业关键技术难题，成功举办两届国家级中国（安康）创新挑战赛。</w:t>
      </w:r>
    </w:p>
    <w:p>
      <w:pPr>
        <w:spacing w:line="560" w:lineRule="exact"/>
        <w:ind w:firstLine="643" w:firstLineChars="200"/>
        <w:rPr>
          <w:rFonts w:hint="eastAsia" w:ascii="仿宋_GB2312" w:hAnsi="仿宋_GB2312" w:eastAsia="仿宋_GB2312" w:cs="仿宋_GB2312"/>
          <w:color w:val="auto"/>
          <w:szCs w:val="32"/>
        </w:rPr>
      </w:pPr>
      <w:bookmarkStart w:id="23" w:name="_Toc65350307"/>
      <w:bookmarkStart w:id="24" w:name="_Toc65241383"/>
      <w:r>
        <w:rPr>
          <w:rFonts w:hint="eastAsia" w:ascii="仿宋_GB2312" w:hAnsi="仿宋_GB2312" w:eastAsia="仿宋_GB2312" w:cs="仿宋_GB2312"/>
          <w:b/>
          <w:bCs/>
          <w:color w:val="auto"/>
        </w:rPr>
        <w:t>科技助力脱贫</w:t>
      </w:r>
      <w:bookmarkEnd w:id="23"/>
      <w:bookmarkEnd w:id="24"/>
      <w:r>
        <w:rPr>
          <w:rFonts w:hint="eastAsia" w:ascii="仿宋_GB2312" w:hAnsi="仿宋_GB2312" w:eastAsia="仿宋_GB2312" w:cs="仿宋_GB2312"/>
          <w:b/>
          <w:bCs/>
          <w:color w:val="auto"/>
        </w:rPr>
        <w:t>成效显著。</w:t>
      </w:r>
      <w:r>
        <w:rPr>
          <w:rFonts w:hint="eastAsia" w:ascii="仿宋_GB2312" w:hAnsi="仿宋_GB2312" w:eastAsia="仿宋_GB2312" w:cs="仿宋_GB2312"/>
          <w:color w:val="auto"/>
          <w:szCs w:val="32"/>
        </w:rPr>
        <w:t>实施科技特派员对接贫困村挂牌服务行动，选派科技特派员1000余人次，实现了科技特派员对992个建档立卡贫困村的全覆盖。实施“三区”科技人才专项计划，累计选派 “三区”科技人才600余人次。建立农业科技示范基地10个、科技扶贫示范点10个，实施深度贫困县科技扶贫绿色通道项目54项，举办各类技术培训班250余场次，培训农民90余万人次，培育科技示范户500余户，带动贫困户依靠科技发展产业、增收脱贫2000余户。</w:t>
      </w:r>
    </w:p>
    <w:p>
      <w:pPr>
        <w:spacing w:line="560" w:lineRule="exact"/>
        <w:ind w:firstLine="640" w:firstLineChars="200"/>
        <w:rPr>
          <w:rFonts w:eastAsia="仿宋_GB2312"/>
          <w:color w:val="auto"/>
          <w:szCs w:val="32"/>
        </w:rPr>
      </w:pPr>
      <w:r>
        <w:rPr>
          <w:rFonts w:hint="eastAsia" w:eastAsia="仿宋_GB2312"/>
          <w:color w:val="auto"/>
          <w:szCs w:val="32"/>
        </w:rPr>
        <w:t>“十三五”期间，我市科技创新工作取得了显著成绩，同时也存在一些短板弱项。一是科技创新人才存量偏少、增量不足，领军人才和顶尖团队匮乏，学历结构、学科分布不够合理；二是财政科技投入有限，研究与试验</w:t>
      </w:r>
      <w:r>
        <w:rPr>
          <w:rFonts w:hint="eastAsia" w:ascii="仿宋_GB2312" w:hAnsi="仿宋_GB2312" w:eastAsia="仿宋_GB2312" w:cs="仿宋_GB2312"/>
          <w:color w:val="auto"/>
          <w:szCs w:val="32"/>
        </w:rPr>
        <w:t>发展（R&amp;D）经费占GDP比重低于全省平均水平；三是高层次科技成果产出较少，科技创新的质量和水平尚需提升；四是企业的创新主体地位不够突出，产业核心竞争力不强，产品科技含</w:t>
      </w:r>
      <w:r>
        <w:rPr>
          <w:rFonts w:hint="eastAsia" w:eastAsia="仿宋_GB2312"/>
          <w:color w:val="auto"/>
          <w:szCs w:val="32"/>
        </w:rPr>
        <w:t>量不够高；五是高新技术企业数量偏少，占全省高新技术企业数的比例偏低。</w:t>
      </w:r>
    </w:p>
    <w:p>
      <w:pPr>
        <w:snapToGrid w:val="0"/>
        <w:spacing w:line="560" w:lineRule="exact"/>
        <w:jc w:val="center"/>
        <w:rPr>
          <w:rFonts w:ascii="仿宋" w:hAnsi="仿宋" w:cs="仿宋_GB2312"/>
          <w:b/>
          <w:color w:val="auto"/>
          <w:sz w:val="24"/>
          <w:szCs w:val="24"/>
        </w:rPr>
      </w:pPr>
      <w:r>
        <w:rPr>
          <w:rFonts w:hint="eastAsia" w:ascii="仿宋" w:hAnsi="仿宋" w:cs="仿宋_GB2312"/>
          <w:b/>
          <w:color w:val="auto"/>
          <w:sz w:val="24"/>
          <w:szCs w:val="24"/>
        </w:rPr>
        <w:t xml:space="preserve">表1 </w:t>
      </w:r>
      <w:r>
        <w:rPr>
          <w:rFonts w:hint="default" w:ascii="仿宋" w:hAnsi="仿宋" w:cs="仿宋_GB2312"/>
          <w:b/>
          <w:color w:val="auto"/>
          <w:sz w:val="24"/>
          <w:szCs w:val="24"/>
          <w:lang w:val="en"/>
        </w:rPr>
        <w:t xml:space="preserve"> </w:t>
      </w:r>
      <w:r>
        <w:rPr>
          <w:rFonts w:hint="eastAsia" w:ascii="仿宋" w:hAnsi="仿宋" w:cs="仿宋_GB2312"/>
          <w:b/>
          <w:color w:val="auto"/>
          <w:sz w:val="24"/>
          <w:szCs w:val="24"/>
        </w:rPr>
        <w:t>安康市“十三五”科技创新发展主要指标完成情况</w:t>
      </w:r>
    </w:p>
    <w:tbl>
      <w:tblPr>
        <w:tblStyle w:val="24"/>
        <w:tblW w:w="8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0"/>
        <w:gridCol w:w="4871"/>
        <w:gridCol w:w="993"/>
        <w:gridCol w:w="113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jc w:val="center"/>
        </w:trPr>
        <w:tc>
          <w:tcPr>
            <w:tcW w:w="4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序号</w:t>
            </w:r>
          </w:p>
        </w:tc>
        <w:tc>
          <w:tcPr>
            <w:tcW w:w="4871"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指标名称</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napToGrid w:val="0"/>
                <w:color w:val="auto"/>
                <w:kern w:val="0"/>
                <w:sz w:val="21"/>
                <w:szCs w:val="21"/>
                <w:lang w:eastAsia="zh-CN"/>
              </w:rPr>
            </w:pPr>
            <w:r>
              <w:rPr>
                <w:rFonts w:hint="eastAsia" w:ascii="仿宋_GB2312" w:hAnsi="仿宋_GB2312" w:eastAsia="仿宋_GB2312" w:cs="仿宋_GB2312"/>
                <w:b/>
                <w:bCs/>
                <w:snapToGrid w:val="0"/>
                <w:color w:val="auto"/>
                <w:kern w:val="0"/>
                <w:sz w:val="21"/>
                <w:szCs w:val="21"/>
              </w:rPr>
              <w:t>2015年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实际</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规划目标</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4" w:hRule="atLeast"/>
          <w:jc w:val="center"/>
        </w:trPr>
        <w:tc>
          <w:tcPr>
            <w:tcW w:w="490"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1</w:t>
            </w:r>
          </w:p>
        </w:tc>
        <w:tc>
          <w:tcPr>
            <w:tcW w:w="4871" w:type="dxa"/>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b/>
                <w:bCs/>
                <w:snapToGrid w:val="0"/>
                <w:color w:val="auto"/>
                <w:kern w:val="0"/>
                <w:sz w:val="21"/>
                <w:szCs w:val="21"/>
                <w:lang w:val="en" w:eastAsia="zh-CN"/>
              </w:rPr>
            </w:pPr>
            <w:r>
              <w:rPr>
                <w:rFonts w:hint="eastAsia" w:ascii="仿宋_GB2312" w:hAnsi="仿宋_GB2312" w:eastAsia="仿宋_GB2312" w:cs="仿宋_GB2312"/>
                <w:b/>
                <w:bCs/>
                <w:snapToGrid w:val="0"/>
                <w:color w:val="auto"/>
                <w:kern w:val="0"/>
                <w:sz w:val="21"/>
                <w:szCs w:val="21"/>
              </w:rPr>
              <w:t>全社会研究与试验发展（R&amp;D）经费占GDP比重（%</w:t>
            </w:r>
            <w:r>
              <w:rPr>
                <w:rFonts w:hint="eastAsia" w:ascii="仿宋_GB2312" w:hAnsi="仿宋_GB2312" w:eastAsia="仿宋_GB2312" w:cs="仿宋_GB2312"/>
                <w:b/>
                <w:bCs/>
                <w:snapToGrid w:val="0"/>
                <w:color w:val="auto"/>
                <w:kern w:val="0"/>
                <w:sz w:val="21"/>
                <w:szCs w:val="21"/>
                <w:lang w:val="en"/>
              </w:rPr>
              <w:t>)</w:t>
            </w: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0.15</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0.3</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 w:hRule="atLeast"/>
          <w:jc w:val="center"/>
        </w:trPr>
        <w:tc>
          <w:tcPr>
            <w:tcW w:w="490"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2</w:t>
            </w:r>
          </w:p>
        </w:tc>
        <w:tc>
          <w:tcPr>
            <w:tcW w:w="4871" w:type="dxa"/>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财政科技支出占财政支出比重（%）</w:t>
            </w: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0.04</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0.5</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4" w:hRule="atLeast"/>
          <w:jc w:val="center"/>
        </w:trPr>
        <w:tc>
          <w:tcPr>
            <w:tcW w:w="490"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3</w:t>
            </w:r>
          </w:p>
        </w:tc>
        <w:tc>
          <w:tcPr>
            <w:tcW w:w="4871" w:type="dxa"/>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技术市场合同成交金额（亿元）</w:t>
            </w: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0.4</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1</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9" w:hRule="atLeast"/>
          <w:jc w:val="center"/>
        </w:trPr>
        <w:tc>
          <w:tcPr>
            <w:tcW w:w="490"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4</w:t>
            </w:r>
          </w:p>
        </w:tc>
        <w:tc>
          <w:tcPr>
            <w:tcW w:w="4871" w:type="dxa"/>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院士工作站（个）</w:t>
            </w: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1</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5</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490"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5</w:t>
            </w:r>
          </w:p>
        </w:tc>
        <w:tc>
          <w:tcPr>
            <w:tcW w:w="4871" w:type="dxa"/>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高新技术企业数（家）</w:t>
            </w: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9</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20</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490"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6</w:t>
            </w:r>
          </w:p>
        </w:tc>
        <w:tc>
          <w:tcPr>
            <w:tcW w:w="4871" w:type="dxa"/>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年专利申请量（项）</w:t>
            </w: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479</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1500</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490"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7</w:t>
            </w:r>
          </w:p>
        </w:tc>
        <w:tc>
          <w:tcPr>
            <w:tcW w:w="4871" w:type="dxa"/>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b/>
                <w:bCs/>
                <w:snapToGrid w:val="0"/>
                <w:color w:val="auto"/>
                <w:kern w:val="0"/>
                <w:sz w:val="21"/>
                <w:szCs w:val="21"/>
              </w:rPr>
            </w:pPr>
            <w:r>
              <w:rPr>
                <w:rFonts w:hint="eastAsia" w:ascii="仿宋_GB2312" w:hAnsi="仿宋_GB2312" w:eastAsia="仿宋_GB2312" w:cs="仿宋_GB2312"/>
                <w:b/>
                <w:bCs/>
                <w:snapToGrid w:val="0"/>
                <w:color w:val="auto"/>
                <w:kern w:val="0"/>
                <w:sz w:val="21"/>
                <w:szCs w:val="21"/>
              </w:rPr>
              <w:t>年专利授权量（项）</w:t>
            </w:r>
          </w:p>
        </w:tc>
        <w:tc>
          <w:tcPr>
            <w:tcW w:w="993"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340</w:t>
            </w:r>
          </w:p>
        </w:tc>
        <w:tc>
          <w:tcPr>
            <w:tcW w:w="1134" w:type="dxa"/>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600</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793</w:t>
            </w:r>
          </w:p>
        </w:tc>
      </w:tr>
    </w:tbl>
    <w:p>
      <w:pPr>
        <w:pStyle w:val="4"/>
        <w:numPr>
          <w:ilvl w:val="0"/>
          <w:numId w:val="1"/>
        </w:numPr>
        <w:spacing w:line="560" w:lineRule="exact"/>
        <w:rPr>
          <w:color w:val="auto"/>
        </w:rPr>
      </w:pPr>
      <w:bookmarkStart w:id="25" w:name="_Toc65241385"/>
      <w:bookmarkStart w:id="26" w:name="_Toc12634"/>
      <w:bookmarkStart w:id="27" w:name="_Toc65350309"/>
      <w:bookmarkStart w:id="28" w:name="_Toc67060717"/>
      <w:bookmarkStart w:id="29" w:name="_Toc71835925"/>
      <w:bookmarkStart w:id="30" w:name="_Toc65437802"/>
      <w:bookmarkStart w:id="31" w:name="_Toc65239455"/>
      <w:r>
        <w:rPr>
          <w:rFonts w:hint="eastAsia"/>
          <w:color w:val="auto"/>
        </w:rPr>
        <w:t>面临形势</w:t>
      </w:r>
      <w:bookmarkEnd w:id="25"/>
      <w:bookmarkEnd w:id="26"/>
      <w:bookmarkEnd w:id="27"/>
      <w:bookmarkEnd w:id="28"/>
      <w:bookmarkEnd w:id="29"/>
      <w:bookmarkEnd w:id="30"/>
      <w:bookmarkEnd w:id="31"/>
    </w:p>
    <w:p>
      <w:pPr>
        <w:spacing w:line="560" w:lineRule="exact"/>
        <w:ind w:firstLine="640" w:firstLineChars="200"/>
        <w:rPr>
          <w:rFonts w:eastAsia="仿宋_GB2312"/>
          <w:color w:val="auto"/>
          <w:szCs w:val="32"/>
        </w:rPr>
      </w:pPr>
      <w:r>
        <w:rPr>
          <w:rFonts w:hint="eastAsia" w:eastAsia="仿宋_GB2312"/>
          <w:color w:val="auto"/>
          <w:szCs w:val="32"/>
        </w:rPr>
        <w:t>当前，全球科技创新进入活跃期，新一轮科技革命和产业变革正处于重大突破的历史关口，我国已全面转入高质量发展阶段，创新成为驱动高质量发展的强大引擎。站在奋斗的新起点上，我市科技创新发展与中省重大战略高度契合，迎来了前所未有的发展机遇。</w:t>
      </w:r>
    </w:p>
    <w:p>
      <w:pPr>
        <w:snapToGrid w:val="0"/>
        <w:spacing w:line="560" w:lineRule="exact"/>
        <w:ind w:firstLine="643" w:firstLineChars="200"/>
        <w:rPr>
          <w:rFonts w:eastAsia="仿宋_GB2312"/>
          <w:color w:val="auto"/>
          <w:szCs w:val="32"/>
        </w:rPr>
      </w:pPr>
      <w:bookmarkStart w:id="32" w:name="_Toc65241388"/>
      <w:bookmarkStart w:id="33" w:name="_Toc65350312"/>
      <w:bookmarkStart w:id="34" w:name="_Toc65241389"/>
      <w:bookmarkStart w:id="35" w:name="_Toc65350313"/>
      <w:r>
        <w:rPr>
          <w:rFonts w:hint="eastAsia" w:ascii="仿宋_GB2312" w:hAnsi="仿宋_GB2312" w:eastAsia="仿宋_GB2312" w:cs="仿宋_GB2312"/>
          <w:b/>
          <w:bCs/>
          <w:color w:val="auto"/>
        </w:rPr>
        <w:t>创新驱动发展战略深入实施提出了新</w:t>
      </w:r>
      <w:bookmarkEnd w:id="32"/>
      <w:bookmarkEnd w:id="33"/>
      <w:r>
        <w:rPr>
          <w:rFonts w:hint="eastAsia" w:ascii="仿宋_GB2312" w:hAnsi="仿宋_GB2312" w:eastAsia="仿宋_GB2312" w:cs="仿宋_GB2312"/>
          <w:b/>
          <w:bCs/>
          <w:color w:val="auto"/>
        </w:rPr>
        <w:t>要求。</w:t>
      </w:r>
      <w:r>
        <w:rPr>
          <w:rFonts w:hint="eastAsia" w:eastAsia="仿宋_GB2312"/>
          <w:color w:val="auto"/>
          <w:szCs w:val="32"/>
        </w:rPr>
        <w:t>《国家创新驱动发展战略纲要》指出，科技创新是提高社会生产力和综合国力的战略支撑，必须摆在国家发展全局的核心位置。党的十九届五中全会进一步强调，要深入实施创新驱动发展战略。科技创新在国家发展全局中的地位达到了前所未有的高度。随着国家创新驱动发展战略的深入实施和省市相关配套政策的跟进，必将为我市科技创新工作带来新的机遇。</w:t>
      </w:r>
    </w:p>
    <w:p>
      <w:pPr>
        <w:snapToGrid w:val="0"/>
        <w:spacing w:line="560" w:lineRule="exact"/>
        <w:ind w:firstLine="643" w:firstLineChars="200"/>
        <w:rPr>
          <w:rFonts w:eastAsia="仿宋_GB2312"/>
          <w:color w:val="auto"/>
          <w:szCs w:val="32"/>
        </w:rPr>
      </w:pPr>
      <w:r>
        <w:rPr>
          <w:rFonts w:hint="eastAsia" w:ascii="仿宋_GB2312" w:hAnsi="仿宋_GB2312" w:eastAsia="仿宋_GB2312" w:cs="仿宋_GB2312"/>
          <w:b/>
          <w:bCs/>
          <w:color w:val="auto"/>
        </w:rPr>
        <w:t>乡村振兴战略全面推进激发出新活力</w:t>
      </w:r>
      <w:bookmarkEnd w:id="34"/>
      <w:bookmarkEnd w:id="35"/>
      <w:r>
        <w:rPr>
          <w:rFonts w:hint="eastAsia" w:ascii="仿宋_GB2312" w:hAnsi="仿宋_GB2312" w:eastAsia="仿宋_GB2312" w:cs="仿宋_GB2312"/>
          <w:b/>
          <w:bCs/>
          <w:color w:val="auto"/>
        </w:rPr>
        <w:t>。</w:t>
      </w:r>
      <w:r>
        <w:rPr>
          <w:rFonts w:hint="eastAsia" w:eastAsia="仿宋_GB2312"/>
          <w:color w:val="auto"/>
          <w:szCs w:val="32"/>
        </w:rPr>
        <w:t>中共中央 国务院发布了《全面推进乡村振兴加快农业农村现代化的意见》，提出了全面推进乡村振兴的指导思想、目标任务和工作举措。随着农业农村现代化建设的加快推进和乡村建设行动的大力实施</w:t>
      </w:r>
      <w:r>
        <w:rPr>
          <w:rFonts w:hint="eastAsia" w:eastAsia="仿宋_GB2312"/>
          <w:color w:val="auto"/>
          <w:szCs w:val="32"/>
          <w:lang w:eastAsia="zh-CN"/>
        </w:rPr>
        <w:t>，</w:t>
      </w:r>
      <w:r>
        <w:rPr>
          <w:rFonts w:hint="eastAsia" w:eastAsia="仿宋_GB2312"/>
          <w:color w:val="auto"/>
          <w:szCs w:val="32"/>
        </w:rPr>
        <w:t>必将为我市科技创新工作提供更大的舞台，使广大科技工作者催生出新激情、激发出新活力。</w:t>
      </w:r>
    </w:p>
    <w:p>
      <w:pPr>
        <w:snapToGrid w:val="0"/>
        <w:spacing w:line="560" w:lineRule="exact"/>
        <w:ind w:firstLine="643" w:firstLineChars="200"/>
        <w:rPr>
          <w:rFonts w:eastAsia="仿宋_GB2312"/>
          <w:color w:val="auto"/>
          <w:szCs w:val="32"/>
        </w:rPr>
      </w:pPr>
      <w:bookmarkStart w:id="36" w:name="_Toc65350314"/>
      <w:bookmarkStart w:id="37" w:name="_Toc65241390"/>
      <w:r>
        <w:rPr>
          <w:rFonts w:hint="eastAsia" w:ascii="仿宋_GB2312" w:hAnsi="仿宋_GB2312" w:eastAsia="仿宋_GB2312" w:cs="仿宋_GB2312"/>
          <w:b/>
          <w:bCs/>
          <w:color w:val="auto"/>
        </w:rPr>
        <w:t>“一带一路”建设持续强化催生出新空间</w:t>
      </w:r>
      <w:bookmarkEnd w:id="36"/>
      <w:bookmarkEnd w:id="37"/>
      <w:r>
        <w:rPr>
          <w:rFonts w:hint="eastAsia" w:ascii="仿宋_GB2312" w:hAnsi="仿宋_GB2312" w:eastAsia="仿宋_GB2312" w:cs="仿宋_GB2312"/>
          <w:b/>
          <w:bCs/>
          <w:color w:val="auto"/>
        </w:rPr>
        <w:t>。</w:t>
      </w:r>
      <w:r>
        <w:rPr>
          <w:rFonts w:hint="eastAsia" w:eastAsia="仿宋_GB2312"/>
          <w:color w:val="auto"/>
          <w:szCs w:val="32"/>
        </w:rPr>
        <w:t>我省是“一带一路”的核心区域，随着高质量共建“一带一路”，着力打造内陆改革开放新高地，特别是安康高新区国家外贸转型升级基地加快建设，安康“无水港”建设提质加速，“安西欧”中欧班列的开通，加快了我市融入关中平原、江汉两大城市群的步伐。更高水平的开放发展，必将为我市科技创新工作催生出新空间。</w:t>
      </w:r>
    </w:p>
    <w:p>
      <w:pPr>
        <w:spacing w:line="560" w:lineRule="exact"/>
        <w:ind w:firstLine="643" w:firstLineChars="200"/>
        <w:rPr>
          <w:rFonts w:eastAsia="仿宋_GB2312"/>
          <w:color w:val="auto"/>
          <w:szCs w:val="32"/>
        </w:rPr>
      </w:pPr>
      <w:r>
        <w:rPr>
          <w:rFonts w:hint="eastAsia" w:ascii="仿宋_GB2312" w:hAnsi="仿宋_GB2312" w:eastAsia="仿宋_GB2312" w:cs="仿宋_GB2312"/>
          <w:b/>
          <w:bCs/>
          <w:color w:val="auto"/>
        </w:rPr>
        <w:t>汉江生态经济带建设扎实推进孕育出新机遇。</w:t>
      </w:r>
      <w:r>
        <w:rPr>
          <w:rFonts w:hint="eastAsia" w:eastAsia="仿宋_GB2312"/>
          <w:color w:val="auto"/>
          <w:szCs w:val="32"/>
        </w:rPr>
        <w:t>《汉江生态经济带发展规划》提出，要将汉江打造成国家战略水资源保障区、内河流域保护开发示范区、中西部联动发展试验区和长江流域绿色发展先行区。把握汉江生态经济带建设新机遇，有利于我市统筹推进“生态经济化、经济生态化”的绿色发展战略，以科技创新促进生态建设、产业协同、文化融合和交通互联，全面融入汉江高质量产业协同发展格局。</w:t>
      </w:r>
    </w:p>
    <w:p>
      <w:pPr>
        <w:spacing w:line="560" w:lineRule="exact"/>
        <w:ind w:firstLine="640" w:firstLineChars="200"/>
        <w:rPr>
          <w:color w:val="auto"/>
        </w:rPr>
      </w:pPr>
      <w:r>
        <w:rPr>
          <w:rFonts w:hint="eastAsia" w:eastAsia="仿宋_GB2312"/>
          <w:color w:val="auto"/>
          <w:szCs w:val="32"/>
        </w:rPr>
        <w:t>在我国提出“碳达峰碳中和”大目标背景下，作为国家重点生态功能区和南水北调中线工程重要水源涵养区，我市预期</w:t>
      </w:r>
      <w:r>
        <w:rPr>
          <w:rFonts w:hint="eastAsia" w:ascii="仿宋_GB2312" w:hAnsi="仿宋_GB2312" w:eastAsia="仿宋_GB2312" w:cs="仿宋_GB2312"/>
          <w:color w:val="auto"/>
          <w:szCs w:val="32"/>
        </w:rPr>
        <w:t>到2028年实现碳达峰</w:t>
      </w:r>
      <w:r>
        <w:rPr>
          <w:rFonts w:hint="eastAsia" w:eastAsia="仿宋_GB2312"/>
          <w:color w:val="auto"/>
          <w:szCs w:val="32"/>
        </w:rPr>
        <w:t>。面对实现高质量发展与环境约束的双重压力，科技创新工作将面临更多挑战：一是我市正处于工业化初期向中期迈进、资源依赖向要素聚集转变的阶段，经济实力薄弱、韧性不强、欠发达仍是基本市情，发展不足仍是最突出矛盾；二是生态环境资源的要求越来越高，生态环境保护与绿色产业发展相融合模式尚在探索，产业转型和提质增效的压力较大；三是整体科技创新资源匮乏，科技创新引领能力不足，高新技术企业数量偏少，新技术新产业新业态发展相对滞后；四是县域科技创新发展基础薄弱，</w:t>
      </w:r>
      <w:bookmarkStart w:id="38" w:name="_Toc38264166"/>
      <w:bookmarkStart w:id="39" w:name="_Toc38264177"/>
      <w:r>
        <w:rPr>
          <w:rFonts w:hint="eastAsia" w:eastAsia="仿宋_GB2312"/>
          <w:color w:val="auto"/>
          <w:szCs w:val="32"/>
        </w:rPr>
        <w:t>创新能力有待提升。</w:t>
      </w:r>
      <w:bookmarkEnd w:id="38"/>
      <w:r>
        <w:rPr>
          <w:rFonts w:hint="eastAsia" w:eastAsia="仿宋_GB2312"/>
          <w:color w:val="auto"/>
          <w:szCs w:val="32"/>
        </w:rPr>
        <w:t>这些因素在较长一段时期内成为制约我市科技创新发展的主要瓶颈。</w:t>
      </w:r>
      <w:bookmarkEnd w:id="39"/>
    </w:p>
    <w:p>
      <w:pPr>
        <w:pStyle w:val="4"/>
        <w:numPr>
          <w:ilvl w:val="0"/>
          <w:numId w:val="1"/>
        </w:numPr>
        <w:spacing w:line="560" w:lineRule="exact"/>
        <w:ind w:firstLine="640" w:firstLineChars="200"/>
        <w:rPr>
          <w:color w:val="auto"/>
        </w:rPr>
      </w:pPr>
      <w:bookmarkStart w:id="40" w:name="_Toc71835927"/>
      <w:bookmarkStart w:id="41" w:name="_Toc65350317"/>
      <w:bookmarkStart w:id="42" w:name="_Toc67060719"/>
      <w:bookmarkStart w:id="43" w:name="_Toc65239459"/>
      <w:bookmarkStart w:id="44" w:name="_Toc65437806"/>
      <w:bookmarkStart w:id="45" w:name="_Toc65241393"/>
      <w:bookmarkStart w:id="46" w:name="_Toc13938"/>
      <w:r>
        <w:rPr>
          <w:rFonts w:hint="eastAsia"/>
          <w:color w:val="auto"/>
        </w:rPr>
        <w:t>指导思想</w:t>
      </w:r>
      <w:bookmarkEnd w:id="40"/>
      <w:bookmarkEnd w:id="41"/>
      <w:bookmarkEnd w:id="42"/>
      <w:bookmarkEnd w:id="43"/>
      <w:bookmarkEnd w:id="44"/>
      <w:bookmarkEnd w:id="45"/>
      <w:bookmarkEnd w:id="46"/>
    </w:p>
    <w:p>
      <w:pPr>
        <w:spacing w:line="560" w:lineRule="exact"/>
        <w:ind w:firstLine="640" w:firstLineChars="200"/>
        <w:rPr>
          <w:rFonts w:hint="eastAsia" w:eastAsia="仿宋_GB2312"/>
          <w:color w:val="auto"/>
          <w:szCs w:val="32"/>
        </w:rPr>
      </w:pPr>
      <w:r>
        <w:rPr>
          <w:rFonts w:hint="eastAsia" w:eastAsia="仿宋_GB2312"/>
          <w:color w:val="auto"/>
          <w:szCs w:val="32"/>
        </w:rPr>
        <w:t>以习近平新时代中国特色社会主义思想为指导，深入贯彻党的十九大和十九届二中、三中、四中、五中全会精神，全面贯彻习近平总书记来陕来安考察重要讲话重要指示精神，把握新发展阶段，贯彻新发展理念，融入新发展格局，以推动高质量发展、创造高品质生活、实现高效能治理为目标导向，认真落实中央科技工作会议精神和省市科技创新工作部署，主动对接国家和我省发展战略，坚定“追赶超越、绿色崛起”发展总纲，坚持“发展为要、创新为先、民生为本，生态立市、开放兴市、产业强市”发展路径，按照“围绕一个</w:t>
      </w:r>
      <w:r>
        <w:rPr>
          <w:rFonts w:hint="eastAsia" w:ascii="仿宋_GB2312" w:hAnsi="仿宋_GB2312" w:eastAsia="仿宋_GB2312" w:cs="仿宋_GB2312"/>
          <w:color w:val="auto"/>
          <w:szCs w:val="32"/>
        </w:rPr>
        <w:t>目标、坚持双链融合、建设五大载体、实施八大工程”的“1258”工作思路，深入实施创新驱动发展战略，不断深化科技体制改革，持续优化科技创新环境，稳步提升科技创新能力，全力加快科技成果转化，为把我</w:t>
      </w:r>
      <w:r>
        <w:rPr>
          <w:rFonts w:hint="eastAsia" w:eastAsia="仿宋_GB2312"/>
          <w:color w:val="auto"/>
          <w:szCs w:val="32"/>
        </w:rPr>
        <w:t>市基本建成西北生态经济强市提供强有力的科技支撑和发展动力。</w:t>
      </w:r>
    </w:p>
    <w:p>
      <w:pPr>
        <w:pStyle w:val="4"/>
        <w:numPr>
          <w:ilvl w:val="0"/>
          <w:numId w:val="1"/>
        </w:numPr>
        <w:spacing w:line="560" w:lineRule="exact"/>
        <w:rPr>
          <w:color w:val="auto"/>
        </w:rPr>
      </w:pPr>
      <w:bookmarkStart w:id="47" w:name="_Toc65437807"/>
      <w:bookmarkStart w:id="48" w:name="_Toc65350318"/>
      <w:bookmarkStart w:id="49" w:name="_Toc67060720"/>
      <w:bookmarkStart w:id="50" w:name="_Toc65241394"/>
      <w:bookmarkStart w:id="51" w:name="_Toc71835928"/>
      <w:bookmarkStart w:id="52" w:name="_Toc27158"/>
      <w:bookmarkStart w:id="53" w:name="_Toc65239460"/>
      <w:r>
        <w:rPr>
          <w:rFonts w:hint="eastAsia"/>
          <w:color w:val="auto"/>
        </w:rPr>
        <w:t>基本原则</w:t>
      </w:r>
      <w:bookmarkEnd w:id="47"/>
      <w:bookmarkEnd w:id="48"/>
      <w:bookmarkEnd w:id="49"/>
      <w:bookmarkEnd w:id="50"/>
      <w:bookmarkEnd w:id="51"/>
      <w:bookmarkEnd w:id="52"/>
      <w:bookmarkEnd w:id="53"/>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创新引领。</w:t>
      </w:r>
      <w:r>
        <w:rPr>
          <w:rFonts w:hint="eastAsia" w:eastAsia="仿宋_GB2312"/>
          <w:color w:val="auto"/>
          <w:szCs w:val="32"/>
        </w:rPr>
        <w:t>坚持知识创新、技术创新与机制创新相结合，自主开发与引进消化吸收再创新相结合，积极探索体制机制创新，打造创新创业示范样板，发挥示范引领和辐射带动作用。</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人才驱动。</w:t>
      </w:r>
      <w:r>
        <w:rPr>
          <w:rFonts w:hint="eastAsia" w:eastAsia="仿宋_GB2312"/>
          <w:color w:val="auto"/>
          <w:szCs w:val="32"/>
        </w:rPr>
        <w:t>充分发挥人才作为第一资源的支撑作用，不断完善人才引进培育使用机制，在创新实践中发现人才，在创新活动中培育人才，在创新事业中集聚人才，培养造就结构合理、素质优良的科技人才队伍。</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重点突破。</w:t>
      </w:r>
      <w:r>
        <w:rPr>
          <w:rFonts w:hint="eastAsia" w:ascii="仿宋" w:hAnsi="仿宋" w:cs="仿宋_GB2312"/>
          <w:color w:val="auto"/>
          <w:szCs w:val="32"/>
        </w:rPr>
        <w:t>聚</w:t>
      </w:r>
      <w:r>
        <w:rPr>
          <w:rFonts w:hint="eastAsia" w:eastAsia="仿宋_GB2312"/>
          <w:color w:val="auto"/>
          <w:szCs w:val="32"/>
        </w:rPr>
        <w:t>焦科技创新重大需求，瞄准科技创新关键共性难题和重大短板，整合和统筹各方创新资源，在创新驱动重点任务、重点领域、关键环节上实现新突破，带动科技创新能力整体提升。</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开放合作。</w:t>
      </w:r>
      <w:r>
        <w:rPr>
          <w:rFonts w:hint="eastAsia" w:eastAsia="仿宋_GB2312"/>
          <w:color w:val="auto"/>
          <w:szCs w:val="32"/>
        </w:rPr>
        <w:t>把握开放创新趋势，主动融入全球创新网络，大力引进国外人才智力、强化国际交流合作，加强与发达地区的协作，深化校（院）地合作，进一步集聚优势创新要素和资源，推动建立广泛的创新共同体，形成深度融合、互利共赢的合作格局。</w:t>
      </w:r>
    </w:p>
    <w:p>
      <w:pPr>
        <w:pStyle w:val="4"/>
        <w:numPr>
          <w:ilvl w:val="0"/>
          <w:numId w:val="1"/>
        </w:numPr>
        <w:spacing w:line="560" w:lineRule="exact"/>
        <w:ind w:firstLine="640" w:firstLineChars="200"/>
        <w:rPr>
          <w:color w:val="auto"/>
        </w:rPr>
      </w:pPr>
      <w:bookmarkStart w:id="54" w:name="_Toc14610"/>
      <w:bookmarkStart w:id="55" w:name="_Toc71835929"/>
      <w:bookmarkStart w:id="56" w:name="_Toc65350319"/>
      <w:bookmarkStart w:id="57" w:name="_Toc67060721"/>
      <w:bookmarkStart w:id="58" w:name="_Toc65241395"/>
      <w:bookmarkStart w:id="59" w:name="_Toc65437808"/>
      <w:bookmarkStart w:id="60" w:name="_Toc65239461"/>
      <w:r>
        <w:rPr>
          <w:rFonts w:hint="eastAsia"/>
          <w:color w:val="auto"/>
        </w:rPr>
        <w:t>发展思路</w:t>
      </w:r>
      <w:bookmarkEnd w:id="54"/>
      <w:bookmarkEnd w:id="55"/>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围绕一个目标：</w:t>
      </w:r>
      <w:r>
        <w:rPr>
          <w:rFonts w:hint="eastAsia" w:eastAsia="仿宋_GB2312"/>
          <w:color w:val="auto"/>
          <w:szCs w:val="32"/>
        </w:rPr>
        <w:t>创建国家创新型城市，打造秦巴区域创新高地。</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坚持双链融合：</w:t>
      </w:r>
      <w:r>
        <w:rPr>
          <w:rFonts w:hint="eastAsia" w:eastAsia="仿宋_GB2312"/>
          <w:color w:val="auto"/>
          <w:szCs w:val="32"/>
        </w:rPr>
        <w:t>围绕产业链部署创新链，围绕创新链布局产业链。</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建设五大载体：</w:t>
      </w:r>
      <w:r>
        <w:rPr>
          <w:rFonts w:hint="eastAsia" w:eastAsia="仿宋_GB2312"/>
          <w:color w:val="auto"/>
          <w:szCs w:val="32"/>
        </w:rPr>
        <w:t>①秦创原（安康）科技资源统筹共享服务平台；②秦创原安康创新飞地孵化园；③秦巴中药材试验示范站；④安康（汉阴）国家农业科技园区；⑤大学科技园。</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实施八大工程：</w:t>
      </w:r>
      <w:r>
        <w:rPr>
          <w:rFonts w:hint="eastAsia" w:eastAsia="仿宋_GB2312"/>
          <w:color w:val="auto"/>
          <w:szCs w:val="32"/>
        </w:rPr>
        <w:t>①创新主体培育工程；②重点产业创新工程；③创新平台提升工程；④科技成果转化工程；⑤乡村振兴支撑工程；⑥科技人才引育工程；⑦科技金融融合工程；⑧科技队伍强基工程。</w:t>
      </w:r>
    </w:p>
    <w:p>
      <w:pPr>
        <w:pStyle w:val="4"/>
        <w:spacing w:line="560" w:lineRule="exact"/>
        <w:rPr>
          <w:color w:val="auto"/>
        </w:rPr>
      </w:pPr>
      <w:bookmarkStart w:id="61" w:name="_Toc71835930"/>
      <w:bookmarkStart w:id="62" w:name="_Toc13908"/>
      <w:r>
        <w:rPr>
          <w:rFonts w:hint="eastAsia"/>
          <w:color w:val="auto"/>
        </w:rPr>
        <w:t>第六节 发展目标</w:t>
      </w:r>
      <w:bookmarkEnd w:id="56"/>
      <w:bookmarkEnd w:id="57"/>
      <w:bookmarkEnd w:id="58"/>
      <w:bookmarkEnd w:id="59"/>
      <w:bookmarkEnd w:id="60"/>
      <w:bookmarkEnd w:id="61"/>
      <w:bookmarkEnd w:id="62"/>
    </w:p>
    <w:p>
      <w:pPr>
        <w:spacing w:line="560" w:lineRule="exact"/>
        <w:ind w:firstLine="640" w:firstLineChars="200"/>
        <w:rPr>
          <w:rFonts w:hint="eastAsia" w:eastAsia="仿宋_GB2312"/>
          <w:color w:val="auto"/>
          <w:szCs w:val="32"/>
        </w:rPr>
      </w:pPr>
      <w:r>
        <w:rPr>
          <w:rFonts w:hint="eastAsia" w:ascii="仿宋_GB2312" w:hAnsi="仿宋_GB2312" w:eastAsia="仿宋_GB2312" w:cs="仿宋_GB2312"/>
          <w:color w:val="auto"/>
          <w:szCs w:val="32"/>
        </w:rPr>
        <w:t>到2025年，自主创新体系更加完善，体制机制改革不断深化，科技型企业快速发展，科技人才队伍持续壮大，高新技术产业规模稳步增长，科技创新能力大幅提升，创新驱动发展成效显著，国家创新型城市创建成</w:t>
      </w:r>
      <w:r>
        <w:rPr>
          <w:rFonts w:hint="eastAsia" w:eastAsia="仿宋_GB2312"/>
          <w:color w:val="auto"/>
          <w:szCs w:val="32"/>
        </w:rPr>
        <w:t>功。</w:t>
      </w:r>
    </w:p>
    <w:p>
      <w:pPr>
        <w:snapToGrid w:val="0"/>
        <w:spacing w:line="560" w:lineRule="exact"/>
        <w:ind w:firstLine="643"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rPr>
        <w:t>创新主体培育实现跃升。</w:t>
      </w:r>
      <w:r>
        <w:rPr>
          <w:rFonts w:hint="eastAsia" w:eastAsia="仿宋_GB2312"/>
          <w:color w:val="auto"/>
          <w:szCs w:val="32"/>
        </w:rPr>
        <w:t>创</w:t>
      </w:r>
      <w:r>
        <w:rPr>
          <w:rFonts w:hint="eastAsia" w:ascii="仿宋_GB2312" w:hAnsi="仿宋_GB2312" w:eastAsia="仿宋_GB2312" w:cs="仿宋_GB2312"/>
          <w:color w:val="auto"/>
          <w:szCs w:val="32"/>
        </w:rPr>
        <w:t>新主体培育力度持续加大，涌现一批创新能力强、特色鲜明的创新主体。到2025年，高新技术企业数量达到120家，企业为主体、市场为导向、产学研政金密切结合的技术创新体系更加完善。</w:t>
      </w:r>
    </w:p>
    <w:p>
      <w:pPr>
        <w:snapToGrid w:val="0"/>
        <w:spacing w:line="560" w:lineRule="exact"/>
        <w:ind w:firstLine="643"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rPr>
        <w:t>创新平台载体更加完善。</w:t>
      </w:r>
      <w:r>
        <w:rPr>
          <w:rFonts w:hint="eastAsia" w:ascii="仿宋_GB2312" w:hAnsi="仿宋_GB2312" w:eastAsia="仿宋_GB2312" w:cs="仿宋_GB2312"/>
          <w:color w:val="auto"/>
          <w:szCs w:val="32"/>
        </w:rPr>
        <w:t>到2025年，省级以上重点实验室、工程技术研究中心、“四主体一联合”等平台新增10个；院士（专家）工作站达到100个；省级以上科技企业孵化器达到6个；组建产业技术创新战略联盟5个，建设众创空间20个。以安康国家高新区为主体创建秦巴区域科技创新中心，汉阴国家级农业科技园区、旬阳省级高新区的示范引领作用进一步彰显。持续提升全民科学素质，开展青少年科普教育，创建全国科普示范县4个。</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科技创新实力明显提升。</w:t>
      </w:r>
      <w:r>
        <w:rPr>
          <w:rFonts w:hint="eastAsia" w:ascii="仿宋_GB2312" w:hAnsi="仿宋_GB2312" w:eastAsia="仿宋_GB2312" w:cs="仿宋_GB2312"/>
          <w:color w:val="auto"/>
          <w:szCs w:val="32"/>
        </w:rPr>
        <w:t>到2025年，全社会研究与试验发展（R&amp;D）经费强度达到0.8%</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规模以上工业企业研发投入占主营业务收入比重达到0.6%。取得具有自主知识产权的高水平科技成果300项以上，引进、推广新技术、新品种、新成果100项以上，技术合同交易额达到5亿元</w:t>
      </w:r>
      <w:r>
        <w:rPr>
          <w:rFonts w:hint="eastAsia" w:eastAsia="仿宋_GB2312"/>
          <w:color w:val="auto"/>
          <w:szCs w:val="32"/>
        </w:rPr>
        <w:t>以上。</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rPr>
        <w:t>创新创业环境更加优化。</w:t>
      </w:r>
      <w:r>
        <w:rPr>
          <w:rFonts w:hint="eastAsia" w:eastAsia="仿宋_GB2312"/>
          <w:color w:val="auto"/>
          <w:szCs w:val="32"/>
        </w:rPr>
        <w:t>科技体制机制改革取得突破性进展，科技与资本融合更加紧密，创新创业环境持续优化，力争成为全省知识产权强市。</w:t>
      </w:r>
    </w:p>
    <w:p>
      <w:pPr>
        <w:snapToGrid w:val="0"/>
        <w:spacing w:line="5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表2  安康市“十四五”科技创新发展主要指标</w:t>
      </w:r>
    </w:p>
    <w:tbl>
      <w:tblPr>
        <w:tblStyle w:val="24"/>
        <w:tblW w:w="84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4394"/>
        <w:gridCol w:w="1276"/>
        <w:gridCol w:w="1134"/>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指标名称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2020年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实际</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2025年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预期</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1</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全社会研究与试验发展（R&amp;D）经费占GDP比重（%）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0.52</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0.8</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2</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财政科技支出占财政支出比重（%）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0.35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0.5</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3</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rPr>
              <w:t>规模以上工业企业研究与试验发展（R&amp;D）投入占营业收入比重（%）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0.28</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0.6</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4</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万人</w:t>
            </w:r>
            <w:r>
              <w:rPr>
                <w:rFonts w:hint="eastAsia" w:ascii="仿宋_GB2312" w:hAnsi="仿宋_GB2312" w:eastAsia="仿宋_GB2312" w:cs="仿宋_GB2312"/>
                <w:b/>
                <w:bCs/>
                <w:color w:val="auto"/>
                <w:kern w:val="0"/>
                <w:sz w:val="21"/>
                <w:szCs w:val="21"/>
              </w:rPr>
              <w:t>研究与试验发展（R&amp;D）人员数（人年）</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5.29</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7.0</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5</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万人发明专利拥有量（件）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0.50</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6</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技术市场合同成交金额（亿元）</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7</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有效期内高新技术企业数量（家）</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64</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120</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8</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科技创新平台载体（个）</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73</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9" w:firstLineChars="14"/>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120</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预期性</w:t>
            </w:r>
          </w:p>
        </w:tc>
      </w:tr>
    </w:tbl>
    <w:p>
      <w:pPr>
        <w:spacing w:line="560" w:lineRule="exact"/>
        <w:rPr>
          <w:color w:val="auto"/>
        </w:rPr>
      </w:pPr>
      <w:bookmarkStart w:id="63" w:name="_Toc65350322"/>
      <w:bookmarkStart w:id="64" w:name="_Toc65241427"/>
      <w:bookmarkStart w:id="65" w:name="_Toc65437811"/>
      <w:bookmarkStart w:id="66" w:name="_Toc65239462"/>
      <w:bookmarkStart w:id="67" w:name="_Toc65241398"/>
      <w:r>
        <w:rPr>
          <w:rFonts w:hint="eastAsia"/>
          <w:color w:val="auto"/>
        </w:rPr>
        <w:br w:type="page"/>
      </w:r>
    </w:p>
    <w:p>
      <w:pPr>
        <w:pStyle w:val="3"/>
        <w:spacing w:after="312" w:line="560" w:lineRule="exact"/>
        <w:rPr>
          <w:color w:val="auto"/>
        </w:rPr>
      </w:pPr>
      <w:bookmarkStart w:id="68" w:name="_Toc67060728"/>
      <w:bookmarkStart w:id="69" w:name="_Toc18466"/>
      <w:bookmarkStart w:id="70" w:name="_Toc71835932"/>
      <w:r>
        <w:rPr>
          <w:rFonts w:hint="eastAsia"/>
          <w:color w:val="auto"/>
        </w:rPr>
        <w:t>第二章 推动双链深度融合，筑强创新平台载体</w:t>
      </w:r>
      <w:bookmarkEnd w:id="63"/>
      <w:bookmarkEnd w:id="64"/>
      <w:bookmarkEnd w:id="65"/>
      <w:bookmarkEnd w:id="68"/>
      <w:bookmarkEnd w:id="69"/>
      <w:bookmarkEnd w:id="70"/>
    </w:p>
    <w:p>
      <w:pPr>
        <w:snapToGrid w:val="0"/>
        <w:spacing w:line="5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认真落实我省《秦创原创新驱动平台建设三年行动计划</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2021</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2023年</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》《陕西省科学技术厅实施“两链”融合加快构建现代化产业体系三年行动方案（2021</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2023年）》，全力推动双链深度融合，整合市内外学术资源、技术资源、人才资源以及设备资源，建设五大科技创新载体，提升现有科技平台实力，助力我市经济发展提质增效。</w:t>
      </w:r>
    </w:p>
    <w:p>
      <w:pPr>
        <w:pStyle w:val="4"/>
        <w:spacing w:line="560" w:lineRule="exact"/>
        <w:rPr>
          <w:color w:val="auto"/>
        </w:rPr>
      </w:pPr>
      <w:bookmarkStart w:id="71" w:name="_Toc65241439"/>
      <w:bookmarkStart w:id="72" w:name="_Toc65350329"/>
      <w:bookmarkStart w:id="73" w:name="_Toc23918"/>
      <w:bookmarkStart w:id="74" w:name="_Toc65437812"/>
      <w:bookmarkStart w:id="75" w:name="_Toc71835933"/>
      <w:bookmarkStart w:id="76" w:name="_Toc67060729"/>
      <w:bookmarkStart w:id="77" w:name="_Toc65241434"/>
      <w:r>
        <w:rPr>
          <w:rFonts w:hint="eastAsia"/>
          <w:color w:val="auto"/>
        </w:rPr>
        <w:t>第</w:t>
      </w:r>
      <w:r>
        <w:rPr>
          <w:color w:val="auto"/>
        </w:rPr>
        <w:t>一</w:t>
      </w:r>
      <w:r>
        <w:rPr>
          <w:rFonts w:hint="eastAsia"/>
          <w:color w:val="auto"/>
        </w:rPr>
        <w:t>节</w:t>
      </w:r>
      <w:bookmarkEnd w:id="71"/>
      <w:bookmarkEnd w:id="72"/>
      <w:r>
        <w:rPr>
          <w:rFonts w:hint="eastAsia"/>
          <w:color w:val="auto"/>
        </w:rPr>
        <w:t xml:space="preserve"> 推进创新链产业链深度融合</w:t>
      </w:r>
      <w:bookmarkEnd w:id="73"/>
      <w:bookmarkEnd w:id="74"/>
      <w:bookmarkEnd w:id="75"/>
      <w:bookmarkEnd w:id="76"/>
    </w:p>
    <w:p>
      <w:pPr>
        <w:pStyle w:val="5"/>
        <w:spacing w:line="560" w:lineRule="exact"/>
        <w:ind w:firstLine="643"/>
        <w:rPr>
          <w:b w:val="0"/>
          <w:bCs w:val="0"/>
          <w:color w:val="auto"/>
        </w:rPr>
      </w:pPr>
      <w:bookmarkStart w:id="78" w:name="_Toc67060730"/>
      <w:bookmarkStart w:id="79" w:name="_Toc71835934"/>
      <w:bookmarkStart w:id="80" w:name="_Toc65437813"/>
      <w:bookmarkStart w:id="81" w:name="_Toc65350331"/>
      <w:bookmarkStart w:id="82" w:name="_Toc65241441"/>
      <w:r>
        <w:rPr>
          <w:color w:val="auto"/>
        </w:rPr>
        <w:t>一、</w:t>
      </w:r>
      <w:r>
        <w:rPr>
          <w:rFonts w:hint="eastAsia"/>
          <w:color w:val="auto"/>
        </w:rPr>
        <w:t>围绕产业链部署创新链</w:t>
      </w:r>
      <w:bookmarkEnd w:id="78"/>
      <w:bookmarkEnd w:id="79"/>
      <w:bookmarkEnd w:id="80"/>
    </w:p>
    <w:p>
      <w:pPr>
        <w:snapToGrid w:val="0"/>
        <w:spacing w:line="560" w:lineRule="exact"/>
        <w:ind w:firstLine="640" w:firstLineChars="200"/>
        <w:rPr>
          <w:rFonts w:hint="eastAsia" w:eastAsia="仿宋_GB2312"/>
          <w:color w:val="auto"/>
          <w:szCs w:val="32"/>
        </w:rPr>
      </w:pPr>
      <w:r>
        <w:rPr>
          <w:rFonts w:hint="eastAsia" w:eastAsia="仿宋_GB2312"/>
          <w:color w:val="auto"/>
          <w:szCs w:val="32"/>
        </w:rPr>
        <w:t>紧紧围绕三大千亿级产业集群、四大新支柱产业和五大农业特色产业的重大技术需求，认真梳理我市产业链上中下游关键核心技术瓶颈，建立健全产业关键核心技术科技攻坚机制，着力推进重点项目攻关“揭榜挂帅”。充分发挥中国富硒产业研究院、农业农村部富硒产品开发与质量控制重点实验室、安康市农科院、院士专家工作站等科创平台作用，紧盯富硒产业、山林经济以及包装饮用水等资源优势明显的生态友好型产业，瞄准装备制造、新型材料、生物医药等发展基础较好的绿色工业，聚力攻克智能制造、生物提取、储能产品等关键技术研究和应用示范，加速富硒产业中的硒聚集、硒传输与硒形态转化规律等项目研究，推动产业补链强链延链、迈上价值链中高端。加强政校企协作、产学研融合，引导和鼓励企业与国内外高校、科研院所的优势学科对接，联合共建各类企业研发平台，强化前沿技术研究和产业应用。建立健全企业与高校、科研院所的产学研协同创新机制，采用市场化的手段完善产业技术创新联盟的利益分配机制。</w:t>
      </w:r>
    </w:p>
    <w:p>
      <w:pPr>
        <w:pStyle w:val="5"/>
        <w:spacing w:line="560" w:lineRule="exact"/>
        <w:ind w:firstLine="643"/>
        <w:rPr>
          <w:color w:val="auto"/>
        </w:rPr>
      </w:pPr>
      <w:bookmarkStart w:id="83" w:name="_Toc71835935"/>
      <w:bookmarkStart w:id="84" w:name="_Toc67060731"/>
      <w:bookmarkStart w:id="85" w:name="_Toc65241435"/>
      <w:bookmarkStart w:id="86" w:name="_Toc65437814"/>
      <w:bookmarkStart w:id="87" w:name="_Toc65350334"/>
      <w:r>
        <w:rPr>
          <w:rFonts w:hint="eastAsia"/>
          <w:color w:val="auto"/>
        </w:rPr>
        <w:t>二、围绕创新链布局产业链</w:t>
      </w:r>
      <w:bookmarkEnd w:id="83"/>
      <w:bookmarkEnd w:id="8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围绕战略性新兴产业和未来产业，加强前沿技术超前布局，推进基础研究、应用研究、成果转化与产业化对接融通。完善科技成果转化服务体系，支持各县（市、区）培育建设技术转移服务机构，支持高新区建设科技成果转化载体，鼓励高校、科研院所、企事业单位各类技术人员兼职从事技术转移活动，不断完善我市技术经纪人队伍，积极开展技术经纪人培训。完善“众创空间</w:t>
      </w:r>
      <w:r>
        <w:rPr>
          <w:rFonts w:hint="eastAsia" w:eastAsia="仿宋_GB2312"/>
          <w:color w:val="auto"/>
          <w:szCs w:val="32"/>
          <w:lang w:eastAsia="zh-CN"/>
        </w:rPr>
        <w:t>—</w:t>
      </w:r>
      <w:r>
        <w:rPr>
          <w:rFonts w:hint="eastAsia" w:eastAsia="仿宋_GB2312"/>
          <w:color w:val="auto"/>
          <w:szCs w:val="32"/>
        </w:rPr>
        <w:t>孵化器</w:t>
      </w:r>
      <w:r>
        <w:rPr>
          <w:rFonts w:hint="eastAsia" w:eastAsia="仿宋_GB2312"/>
          <w:color w:val="auto"/>
          <w:szCs w:val="32"/>
          <w:lang w:eastAsia="zh-CN"/>
        </w:rPr>
        <w:t>—</w:t>
      </w:r>
      <w:r>
        <w:rPr>
          <w:rFonts w:hint="eastAsia" w:eastAsia="仿宋_GB2312"/>
          <w:color w:val="auto"/>
          <w:szCs w:val="32"/>
        </w:rPr>
        <w:t>加速器</w:t>
      </w:r>
      <w:r>
        <w:rPr>
          <w:rFonts w:hint="eastAsia" w:eastAsia="仿宋_GB2312"/>
          <w:color w:val="auto"/>
          <w:szCs w:val="32"/>
          <w:lang w:eastAsia="zh-CN"/>
        </w:rPr>
        <w:t>—</w:t>
      </w:r>
      <w:r>
        <w:rPr>
          <w:rFonts w:hint="eastAsia" w:eastAsia="仿宋_GB2312"/>
          <w:color w:val="auto"/>
          <w:szCs w:val="32"/>
        </w:rPr>
        <w:t>产业园”全链条创新型企业孵化体系，推进以骨干企业为核心、高校院所参与的专业化众创空间建设，建立孵化载体绩效“排行榜”，按照载体功能差异开展分类评价，推动创新创业载体专业化、市场化、精细化、品牌化</w:t>
      </w:r>
      <w:r>
        <w:rPr>
          <w:rFonts w:hint="eastAsia" w:ascii="仿宋_GB2312" w:hAnsi="仿宋_GB2312" w:eastAsia="仿宋_GB2312" w:cs="仿宋_GB2312"/>
          <w:color w:val="auto"/>
          <w:szCs w:val="32"/>
        </w:rPr>
        <w:t>发展，实现数量质量双提升。引导企业加大研发投入，促进各类创新要素向企业集聚，探索构建“科技型中小企业+高新技术企业（瞪羚企业）</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上市企业（独角兽企业）”的企业全生命周期梯度培育链条。大力引进知名高校、科研院所来我市设立产业公共研发服务平台。依托省科技厅科技资源统筹中心，重点建设安康市科技资源统筹服务中心，并在省级以上高新区、经开区和县（市、区）加快建设服务分中心。不定期举办产学研合作项目对接会、成果发布会等产学研活动，实施产学研合作项目100项以上</w:t>
      </w:r>
      <w:r>
        <w:rPr>
          <w:rFonts w:hint="eastAsia" w:eastAsia="仿宋_GB2312"/>
          <w:color w:val="auto"/>
          <w:szCs w:val="32"/>
        </w:rPr>
        <w:t>。</w:t>
      </w:r>
    </w:p>
    <w:p>
      <w:pPr>
        <w:snapToGrid w:val="0"/>
        <w:spacing w:line="560" w:lineRule="exact"/>
        <w:jc w:val="center"/>
        <w:rPr>
          <w:rFonts w:ascii="仿宋" w:hAnsi="仿宋"/>
          <w:b/>
          <w:color w:val="auto"/>
          <w:sz w:val="24"/>
          <w:szCs w:val="28"/>
        </w:rPr>
      </w:pPr>
      <w:r>
        <w:rPr>
          <w:rFonts w:hint="eastAsia" w:ascii="仿宋" w:hAnsi="仿宋" w:cs="仿宋_GB2312"/>
          <w:b/>
          <w:color w:val="auto"/>
          <w:sz w:val="24"/>
          <w:szCs w:val="28"/>
        </w:rPr>
        <w:t xml:space="preserve">表3 </w:t>
      </w:r>
      <w:r>
        <w:rPr>
          <w:rFonts w:hint="default" w:ascii="仿宋" w:hAnsi="仿宋" w:cs="仿宋_GB2312"/>
          <w:b/>
          <w:color w:val="auto"/>
          <w:sz w:val="24"/>
          <w:szCs w:val="28"/>
          <w:lang w:val="en"/>
        </w:rPr>
        <w:t xml:space="preserve"> </w:t>
      </w:r>
      <w:r>
        <w:rPr>
          <w:rFonts w:hint="eastAsia" w:ascii="仿宋" w:hAnsi="仿宋" w:cs="仿宋_GB2312"/>
          <w:b/>
          <w:color w:val="auto"/>
          <w:sz w:val="24"/>
          <w:szCs w:val="28"/>
        </w:rPr>
        <w:t>安康市</w:t>
      </w:r>
      <w:r>
        <w:rPr>
          <w:rFonts w:hint="eastAsia" w:ascii="仿宋" w:hAnsi="仿宋"/>
          <w:b/>
          <w:color w:val="auto"/>
          <w:sz w:val="24"/>
          <w:szCs w:val="28"/>
        </w:rPr>
        <w:t>重点</w:t>
      </w:r>
      <w:r>
        <w:rPr>
          <w:rFonts w:ascii="仿宋" w:hAnsi="仿宋"/>
          <w:b/>
          <w:color w:val="auto"/>
          <w:sz w:val="24"/>
          <w:szCs w:val="28"/>
        </w:rPr>
        <w:t>产业双链融合</w:t>
      </w:r>
      <w:r>
        <w:rPr>
          <w:rFonts w:hint="eastAsia" w:ascii="仿宋" w:hAnsi="仿宋"/>
          <w:b/>
          <w:color w:val="auto"/>
          <w:sz w:val="24"/>
          <w:szCs w:val="28"/>
        </w:rPr>
        <w:t>布局</w:t>
      </w:r>
    </w:p>
    <w:tbl>
      <w:tblPr>
        <w:tblStyle w:val="24"/>
        <w:tblW w:w="8701" w:type="dxa"/>
        <w:jc w:val="center"/>
        <w:tblInd w:w="0" w:type="dxa"/>
        <w:tblLayout w:type="fixed"/>
        <w:tblCellMar>
          <w:top w:w="0" w:type="dxa"/>
          <w:left w:w="108" w:type="dxa"/>
          <w:bottom w:w="0" w:type="dxa"/>
          <w:right w:w="108" w:type="dxa"/>
        </w:tblCellMar>
      </w:tblPr>
      <w:tblGrid>
        <w:gridCol w:w="428"/>
        <w:gridCol w:w="673"/>
        <w:gridCol w:w="1489"/>
        <w:gridCol w:w="981"/>
        <w:gridCol w:w="650"/>
        <w:gridCol w:w="760"/>
        <w:gridCol w:w="915"/>
        <w:gridCol w:w="1035"/>
        <w:gridCol w:w="945"/>
        <w:gridCol w:w="825"/>
      </w:tblGrid>
      <w:tr>
        <w:tblPrEx>
          <w:tblLayout w:type="fixed"/>
          <w:tblCellMar>
            <w:top w:w="0" w:type="dxa"/>
            <w:left w:w="108" w:type="dxa"/>
            <w:bottom w:w="0" w:type="dxa"/>
            <w:right w:w="108" w:type="dxa"/>
          </w:tblCellMar>
        </w:tblPrEx>
        <w:trPr>
          <w:trHeight w:val="270" w:hRule="atLeast"/>
          <w:jc w:val="center"/>
        </w:trPr>
        <w:tc>
          <w:tcPr>
            <w:tcW w:w="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产业名称</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重点产业分布</w:t>
            </w:r>
          </w:p>
        </w:tc>
        <w:tc>
          <w:tcPr>
            <w:tcW w:w="163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创新主体</w:t>
            </w:r>
          </w:p>
        </w:tc>
        <w:tc>
          <w:tcPr>
            <w:tcW w:w="44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创新创业载体</w:t>
            </w:r>
          </w:p>
        </w:tc>
      </w:tr>
      <w:tr>
        <w:tblPrEx>
          <w:tblLayout w:type="fixed"/>
          <w:tblCellMar>
            <w:top w:w="0" w:type="dxa"/>
            <w:left w:w="108" w:type="dxa"/>
            <w:bottom w:w="0" w:type="dxa"/>
            <w:right w:w="108" w:type="dxa"/>
          </w:tblCellMar>
        </w:tblPrEx>
        <w:trPr>
          <w:trHeight w:val="510" w:hRule="atLeast"/>
          <w:jc w:val="center"/>
        </w:trPr>
        <w:tc>
          <w:tcPr>
            <w:tcW w:w="4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p>
        </w:tc>
        <w:tc>
          <w:tcPr>
            <w:tcW w:w="9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高新技术企业</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上市企业</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重点实验室</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研发中心</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院士</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（专家）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工作站</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科技示范园</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创新联盟</w:t>
            </w:r>
          </w:p>
        </w:tc>
      </w:tr>
      <w:tr>
        <w:tblPrEx>
          <w:tblLayout w:type="fixed"/>
          <w:tblCellMar>
            <w:top w:w="0" w:type="dxa"/>
            <w:left w:w="108" w:type="dxa"/>
            <w:bottom w:w="0" w:type="dxa"/>
            <w:right w:w="108" w:type="dxa"/>
          </w:tblCellMar>
        </w:tblPrEx>
        <w:trPr>
          <w:trHeight w:val="972" w:hRule="atLeast"/>
          <w:jc w:val="center"/>
        </w:trPr>
        <w:tc>
          <w:tcPr>
            <w:tcW w:w="4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1</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富硒产业</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汉滨、石泉、紫阳、平利、汉阴、岚皋、镇坪、高新区</w:t>
            </w:r>
          </w:p>
        </w:tc>
        <w:tc>
          <w:tcPr>
            <w:tcW w:w="9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25～30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3～5</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25～30</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5（省级1个）</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r>
      <w:tr>
        <w:tblPrEx>
          <w:tblLayout w:type="fixed"/>
          <w:tblCellMar>
            <w:top w:w="0" w:type="dxa"/>
            <w:left w:w="108" w:type="dxa"/>
            <w:bottom w:w="0" w:type="dxa"/>
            <w:right w:w="108" w:type="dxa"/>
          </w:tblCellMar>
        </w:tblPrEx>
        <w:trPr>
          <w:trHeight w:val="969" w:hRule="atLeast"/>
          <w:jc w:val="center"/>
        </w:trPr>
        <w:tc>
          <w:tcPr>
            <w:tcW w:w="4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2</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旅游康养</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汉滨、石泉、宁陕、紫阳、平利、岚皋、镇坪</w:t>
            </w:r>
          </w:p>
        </w:tc>
        <w:tc>
          <w:tcPr>
            <w:tcW w:w="9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10～15</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2～3</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3～5</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r>
      <w:tr>
        <w:tblPrEx>
          <w:tblLayout w:type="fixed"/>
          <w:tblCellMar>
            <w:top w:w="0" w:type="dxa"/>
            <w:left w:w="108" w:type="dxa"/>
            <w:bottom w:w="0" w:type="dxa"/>
            <w:right w:w="108" w:type="dxa"/>
          </w:tblCellMar>
        </w:tblPrEx>
        <w:trPr>
          <w:trHeight w:val="270" w:hRule="atLeast"/>
          <w:jc w:val="center"/>
        </w:trPr>
        <w:tc>
          <w:tcPr>
            <w:tcW w:w="4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3</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新型材料</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汉滨、旬阳、白河、高新区</w:t>
            </w:r>
          </w:p>
        </w:tc>
        <w:tc>
          <w:tcPr>
            <w:tcW w:w="9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8～10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2～3</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3～5</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r>
      <w:tr>
        <w:tblPrEx>
          <w:tblLayout w:type="fixed"/>
          <w:tblCellMar>
            <w:top w:w="0" w:type="dxa"/>
            <w:left w:w="108" w:type="dxa"/>
            <w:bottom w:w="0" w:type="dxa"/>
            <w:right w:w="108" w:type="dxa"/>
          </w:tblCellMar>
        </w:tblPrEx>
        <w:trPr>
          <w:trHeight w:val="270" w:hRule="atLeast"/>
          <w:jc w:val="center"/>
        </w:trPr>
        <w:tc>
          <w:tcPr>
            <w:tcW w:w="428"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4</w:t>
            </w:r>
          </w:p>
        </w:tc>
        <w:tc>
          <w:tcPr>
            <w:tcW w:w="673"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装备制造</w:t>
            </w:r>
          </w:p>
        </w:tc>
        <w:tc>
          <w:tcPr>
            <w:tcW w:w="1489"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石泉、旬阳、高新区、恒口示范区</w:t>
            </w:r>
          </w:p>
        </w:tc>
        <w:tc>
          <w:tcPr>
            <w:tcW w:w="981"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8～10</w:t>
            </w:r>
          </w:p>
        </w:tc>
        <w:tc>
          <w:tcPr>
            <w:tcW w:w="650"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760"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15"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2～3</w:t>
            </w:r>
          </w:p>
        </w:tc>
        <w:tc>
          <w:tcPr>
            <w:tcW w:w="1035"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3～5</w:t>
            </w:r>
          </w:p>
        </w:tc>
        <w:tc>
          <w:tcPr>
            <w:tcW w:w="945"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825"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r>
      <w:tr>
        <w:tblPrEx>
          <w:tblLayout w:type="fixed"/>
          <w:tblCellMar>
            <w:top w:w="0" w:type="dxa"/>
            <w:left w:w="108" w:type="dxa"/>
            <w:bottom w:w="0" w:type="dxa"/>
            <w:right w:w="108" w:type="dxa"/>
          </w:tblCellMar>
        </w:tblPrEx>
        <w:trPr>
          <w:trHeight w:val="820" w:hRule="atLeast"/>
          <w:jc w:val="center"/>
        </w:trPr>
        <w:tc>
          <w:tcPr>
            <w:tcW w:w="428"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rPr>
              <w:t>5</w:t>
            </w:r>
          </w:p>
        </w:tc>
        <w:tc>
          <w:tcPr>
            <w:tcW w:w="673"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rPr>
              <w:t>电子信息</w:t>
            </w:r>
          </w:p>
        </w:tc>
        <w:tc>
          <w:tcPr>
            <w:tcW w:w="1489"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rPr>
              <w:t>高新区</w:t>
            </w:r>
          </w:p>
        </w:tc>
        <w:tc>
          <w:tcPr>
            <w:tcW w:w="981"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3～5</w:t>
            </w:r>
          </w:p>
        </w:tc>
        <w:tc>
          <w:tcPr>
            <w:tcW w:w="650"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lang w:val="en-US" w:eastAsia="zh-CN" w:bidi="ar-SA"/>
              </w:rPr>
            </w:pPr>
          </w:p>
        </w:tc>
        <w:tc>
          <w:tcPr>
            <w:tcW w:w="760"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w:t>
            </w:r>
          </w:p>
        </w:tc>
        <w:tc>
          <w:tcPr>
            <w:tcW w:w="915"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2～3</w:t>
            </w:r>
          </w:p>
        </w:tc>
        <w:tc>
          <w:tcPr>
            <w:tcW w:w="1035"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3～5</w:t>
            </w:r>
          </w:p>
        </w:tc>
        <w:tc>
          <w:tcPr>
            <w:tcW w:w="945"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w:t>
            </w:r>
          </w:p>
        </w:tc>
        <w:tc>
          <w:tcPr>
            <w:tcW w:w="825" w:type="dxa"/>
            <w:tcBorders>
              <w:top w:val="single" w:color="auto" w:sz="4" w:space="0"/>
              <w:left w:val="single" w:color="auto" w:sz="4" w:space="0"/>
              <w:bottom w:val="single" w:color="000000" w:themeColor="text1" w:sz="4" w:space="0"/>
              <w:right w:val="single" w:color="auto"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0"/>
                <w:sz w:val="21"/>
                <w:szCs w:val="21"/>
                <w:lang w:val="en-US" w:eastAsia="zh-CN" w:bidi="ar-SA"/>
              </w:rPr>
            </w:pPr>
          </w:p>
        </w:tc>
      </w:tr>
      <w:tr>
        <w:tblPrEx>
          <w:tblLayout w:type="fixed"/>
          <w:tblCellMar>
            <w:top w:w="0" w:type="dxa"/>
            <w:left w:w="108" w:type="dxa"/>
            <w:bottom w:w="0" w:type="dxa"/>
            <w:right w:w="108" w:type="dxa"/>
          </w:tblCellMar>
        </w:tblPrEx>
        <w:trPr>
          <w:trHeight w:val="740" w:hRule="atLeast"/>
          <w:jc w:val="center"/>
        </w:trPr>
        <w:tc>
          <w:tcPr>
            <w:tcW w:w="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6</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现代物流</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恒口示范区、高新区</w:t>
            </w:r>
          </w:p>
        </w:tc>
        <w:tc>
          <w:tcPr>
            <w:tcW w:w="9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3～5</w:t>
            </w:r>
          </w:p>
        </w:tc>
        <w:tc>
          <w:tcPr>
            <w:tcW w:w="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c>
          <w:tcPr>
            <w:tcW w:w="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2～3</w:t>
            </w: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9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8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r>
      <w:tr>
        <w:tblPrEx>
          <w:tblLayout w:type="fixed"/>
          <w:tblCellMar>
            <w:top w:w="0" w:type="dxa"/>
            <w:left w:w="108" w:type="dxa"/>
            <w:bottom w:w="0" w:type="dxa"/>
            <w:right w:w="108" w:type="dxa"/>
          </w:tblCellMar>
        </w:tblPrEx>
        <w:trPr>
          <w:trHeight w:val="270" w:hRule="atLeast"/>
          <w:jc w:val="center"/>
        </w:trPr>
        <w:tc>
          <w:tcPr>
            <w:tcW w:w="428" w:type="dxa"/>
            <w:tcBorders>
              <w:top w:val="single" w:color="000000" w:themeColor="text1"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7</w:t>
            </w:r>
          </w:p>
        </w:tc>
        <w:tc>
          <w:tcPr>
            <w:tcW w:w="673"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毛绒玩具</w:t>
            </w:r>
          </w:p>
        </w:tc>
        <w:tc>
          <w:tcPr>
            <w:tcW w:w="1489"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汉滨、平利、恒口示范区</w:t>
            </w:r>
          </w:p>
        </w:tc>
        <w:tc>
          <w:tcPr>
            <w:tcW w:w="981"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8～10</w:t>
            </w:r>
          </w:p>
        </w:tc>
        <w:tc>
          <w:tcPr>
            <w:tcW w:w="650"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c>
          <w:tcPr>
            <w:tcW w:w="760"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0</w:t>
            </w:r>
          </w:p>
        </w:tc>
        <w:tc>
          <w:tcPr>
            <w:tcW w:w="915"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1035"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945"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825" w:type="dxa"/>
            <w:tcBorders>
              <w:top w:val="single" w:color="000000" w:themeColor="text1"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r>
      <w:tr>
        <w:tblPrEx>
          <w:tblLayout w:type="fixed"/>
          <w:tblCellMar>
            <w:top w:w="0" w:type="dxa"/>
            <w:left w:w="108" w:type="dxa"/>
            <w:bottom w:w="0" w:type="dxa"/>
            <w:right w:w="108" w:type="dxa"/>
          </w:tblCellMar>
        </w:tblPrEx>
        <w:trPr>
          <w:trHeight w:val="270" w:hRule="atLeast"/>
          <w:jc w:val="center"/>
        </w:trPr>
        <w:tc>
          <w:tcPr>
            <w:tcW w:w="4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8</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特色农业</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各县区</w:t>
            </w:r>
          </w:p>
        </w:tc>
        <w:tc>
          <w:tcPr>
            <w:tcW w:w="9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20～30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8～10</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40～50</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10（省级3个）</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r>
      <w:tr>
        <w:tblPrEx>
          <w:tblLayout w:type="fixed"/>
          <w:tblCellMar>
            <w:top w:w="0" w:type="dxa"/>
            <w:left w:w="108" w:type="dxa"/>
            <w:bottom w:w="0" w:type="dxa"/>
            <w:right w:w="108" w:type="dxa"/>
          </w:tblCellMar>
        </w:tblPrEx>
        <w:trPr>
          <w:trHeight w:val="270" w:hRule="atLeast"/>
          <w:jc w:val="center"/>
        </w:trPr>
        <w:tc>
          <w:tcPr>
            <w:tcW w:w="4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9</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社会事业</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各县区</w:t>
            </w:r>
          </w:p>
        </w:tc>
        <w:tc>
          <w:tcPr>
            <w:tcW w:w="9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15～20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5～8</w:t>
            </w:r>
          </w:p>
        </w:tc>
        <w:tc>
          <w:tcPr>
            <w:tcW w:w="10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15～20</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5（省级1个）</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1"/>
                <w:szCs w:val="21"/>
              </w:rPr>
            </w:pPr>
          </w:p>
        </w:tc>
      </w:tr>
    </w:tbl>
    <w:p>
      <w:pPr>
        <w:snapToGrid w:val="0"/>
        <w:spacing w:line="56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1"/>
          <w:szCs w:val="21"/>
        </w:rPr>
        <w:t>备注：研发中心包括</w:t>
      </w:r>
      <w:r>
        <w:rPr>
          <w:rFonts w:hint="eastAsia" w:ascii="仿宋_GB2312" w:hAnsi="仿宋_GB2312" w:eastAsia="仿宋_GB2312" w:cs="仿宋_GB2312"/>
          <w:color w:val="auto"/>
          <w:kern w:val="0"/>
          <w:sz w:val="21"/>
          <w:szCs w:val="21"/>
        </w:rPr>
        <w:t>工程技术中心、“四主体一联合”平台及企业自建研发机构。</w:t>
      </w:r>
      <w:bookmarkEnd w:id="77"/>
      <w:bookmarkEnd w:id="81"/>
      <w:bookmarkEnd w:id="82"/>
      <w:bookmarkEnd w:id="85"/>
      <w:bookmarkEnd w:id="86"/>
      <w:bookmarkEnd w:id="87"/>
      <w:bookmarkStart w:id="88" w:name="_Toc65350323"/>
      <w:bookmarkStart w:id="89" w:name="_Toc65241428"/>
      <w:bookmarkStart w:id="90" w:name="_Toc65437817"/>
      <w:bookmarkStart w:id="91" w:name="_Toc18196"/>
      <w:bookmarkStart w:id="92" w:name="_Toc67060732"/>
      <w:bookmarkStart w:id="93" w:name="_Toc71835936"/>
    </w:p>
    <w:p>
      <w:pPr>
        <w:pStyle w:val="4"/>
        <w:spacing w:line="560" w:lineRule="exact"/>
        <w:rPr>
          <w:color w:val="auto"/>
        </w:rPr>
      </w:pPr>
      <w:r>
        <w:rPr>
          <w:rFonts w:hint="eastAsia"/>
          <w:color w:val="auto"/>
        </w:rPr>
        <w:t>第</w:t>
      </w:r>
      <w:r>
        <w:rPr>
          <w:color w:val="auto"/>
        </w:rPr>
        <w:t>二</w:t>
      </w:r>
      <w:r>
        <w:rPr>
          <w:rFonts w:hint="eastAsia"/>
          <w:color w:val="auto"/>
        </w:rPr>
        <w:t>节 加快五大科技创新</w:t>
      </w:r>
      <w:bookmarkEnd w:id="88"/>
      <w:bookmarkEnd w:id="89"/>
      <w:r>
        <w:rPr>
          <w:rFonts w:hint="eastAsia"/>
          <w:color w:val="auto"/>
        </w:rPr>
        <w:t>载体</w:t>
      </w:r>
      <w:bookmarkEnd w:id="90"/>
      <w:r>
        <w:rPr>
          <w:rFonts w:hint="eastAsia"/>
          <w:color w:val="auto"/>
        </w:rPr>
        <w:t>建设</w:t>
      </w:r>
      <w:bookmarkEnd w:id="91"/>
      <w:bookmarkEnd w:id="92"/>
      <w:bookmarkEnd w:id="93"/>
    </w:p>
    <w:p>
      <w:pPr>
        <w:pStyle w:val="5"/>
        <w:spacing w:line="560" w:lineRule="exact"/>
        <w:ind w:firstLine="643"/>
        <w:rPr>
          <w:color w:val="auto"/>
        </w:rPr>
      </w:pPr>
      <w:bookmarkStart w:id="94" w:name="_Toc65437818"/>
      <w:bookmarkStart w:id="95" w:name="_Toc65350324"/>
      <w:bookmarkStart w:id="96" w:name="_Toc65241429"/>
      <w:bookmarkStart w:id="97" w:name="_Toc67060733"/>
      <w:bookmarkStart w:id="98" w:name="_Toc71835937"/>
      <w:r>
        <w:rPr>
          <w:rFonts w:hint="eastAsia"/>
          <w:color w:val="auto"/>
        </w:rPr>
        <w:t>一、</w:t>
      </w:r>
      <w:bookmarkEnd w:id="94"/>
      <w:bookmarkEnd w:id="95"/>
      <w:bookmarkEnd w:id="96"/>
      <w:bookmarkEnd w:id="97"/>
      <w:bookmarkEnd w:id="98"/>
      <w:r>
        <w:rPr>
          <w:rFonts w:hint="eastAsia"/>
          <w:color w:val="auto"/>
        </w:rPr>
        <w:t>秦创原（安康）科技资源统筹共享服务平台建设</w:t>
      </w:r>
    </w:p>
    <w:p>
      <w:pPr>
        <w:snapToGrid w:val="0"/>
        <w:spacing w:line="560" w:lineRule="exact"/>
        <w:ind w:firstLine="640" w:firstLineChars="200"/>
        <w:rPr>
          <w:rFonts w:hint="eastAsia" w:eastAsia="仿宋_GB2312"/>
          <w:color w:val="auto"/>
          <w:szCs w:val="32"/>
        </w:rPr>
      </w:pPr>
      <w:bookmarkStart w:id="99" w:name="_Toc65350325"/>
      <w:bookmarkStart w:id="100" w:name="_Toc65437819"/>
      <w:bookmarkStart w:id="101" w:name="_Toc65241430"/>
      <w:r>
        <w:rPr>
          <w:rFonts w:hint="eastAsia" w:eastAsia="仿宋_GB2312"/>
          <w:color w:val="auto"/>
          <w:szCs w:val="32"/>
        </w:rPr>
        <w:t>依托省级秦创原总平台数据资源，聚焦全省立体联动“孵化器”、科技成果产业化</w:t>
      </w:r>
      <w:r>
        <w:rPr>
          <w:rFonts w:hint="eastAsia" w:ascii="仿宋_GB2312" w:hAnsi="仿宋_GB2312" w:eastAsia="仿宋_GB2312" w:cs="仿宋_GB2312"/>
          <w:color w:val="auto"/>
          <w:szCs w:val="32"/>
        </w:rPr>
        <w:t>“加速器”和两链融合“促进器”三大建设目标，充分运用“互联网+科技”的方式，围绕高校、科研机构、专家人才和科技型企业供需服务，建设集科技成果交易、技术转移、仪器共享、科技项目、知识产权、科技金融、科技中介、交流合作等于一体的秦创原（安康）科技资源统筹共享服务平台</w:t>
      </w:r>
      <w:bookmarkStart w:id="538" w:name="_GoBack"/>
      <w:bookmarkEnd w:id="538"/>
      <w:r>
        <w:rPr>
          <w:rFonts w:hint="eastAsia" w:ascii="仿宋_GB2312" w:hAnsi="仿宋_GB2312" w:eastAsia="仿宋_GB2312" w:cs="仿宋_GB2312"/>
          <w:color w:val="auto"/>
          <w:szCs w:val="32"/>
        </w:rPr>
        <w:t>。积极探索“共建共用共享”运营管理模式，形成“线上+线下”区域科技创新服务体系。通过2</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3年的建设和完善，将其打造成为共享式、开放型、综合性的秦创原创新驱动线上平台，实现创新发展全貌</w:t>
      </w:r>
      <w:r>
        <w:rPr>
          <w:rFonts w:hint="eastAsia" w:eastAsia="仿宋_GB2312"/>
          <w:color w:val="auto"/>
          <w:szCs w:val="32"/>
        </w:rPr>
        <w:t>感知、创新资源全息掌握、创新政策精准支持、创新创业服务全面覆盖，推动管理决策科学化、信息咨询快捷化、科技服务便利化。</w:t>
      </w:r>
    </w:p>
    <w:p>
      <w:pPr>
        <w:pStyle w:val="5"/>
        <w:spacing w:line="560" w:lineRule="exact"/>
        <w:ind w:firstLine="643"/>
        <w:rPr>
          <w:color w:val="auto"/>
        </w:rPr>
      </w:pPr>
      <w:bookmarkStart w:id="102" w:name="_Toc71835938"/>
      <w:bookmarkStart w:id="103" w:name="_Toc67060734"/>
      <w:r>
        <w:rPr>
          <w:rFonts w:hint="eastAsia"/>
          <w:color w:val="auto"/>
        </w:rPr>
        <w:t>二、秦创原安康创新飞地孵化园</w:t>
      </w:r>
      <w:bookmarkEnd w:id="99"/>
      <w:bookmarkEnd w:id="100"/>
      <w:bookmarkEnd w:id="101"/>
      <w:r>
        <w:rPr>
          <w:rFonts w:hint="eastAsia"/>
          <w:color w:val="auto"/>
        </w:rPr>
        <w:t>建设</w:t>
      </w:r>
      <w:bookmarkEnd w:id="102"/>
      <w:bookmarkEnd w:id="103"/>
    </w:p>
    <w:p>
      <w:pPr>
        <w:snapToGrid w:val="0"/>
        <w:spacing w:line="560" w:lineRule="exact"/>
        <w:ind w:firstLine="640" w:firstLineChars="200"/>
        <w:rPr>
          <w:rFonts w:hint="eastAsia" w:eastAsia="仿宋_GB2312"/>
          <w:color w:val="auto"/>
          <w:szCs w:val="32"/>
        </w:rPr>
      </w:pPr>
      <w:bookmarkStart w:id="104" w:name="_Toc65350326"/>
      <w:bookmarkStart w:id="105" w:name="_Toc65241431"/>
      <w:r>
        <w:rPr>
          <w:rFonts w:hint="eastAsia" w:eastAsia="仿宋_GB2312"/>
          <w:color w:val="auto"/>
          <w:szCs w:val="32"/>
        </w:rPr>
        <w:t>充分利用秦创原创新驱动平台，建设安康域外第一个创新飞地和创投聚集区，成为入驻秦创原的首批地市。依托秦创原安康创新飞地孵化园，促进安康高新产业与西安交通大学、西北工业大学、西安电子科技大学、西北农林科技大学等知名高校、科研机构开展高层次产学研用深度融合，在智能制造、电子信息、新型材料、现代农业等重点领域，共引科技创新人才，共享科技创新资源，共建科技创新平台，共促科技成果产出和转化，打造科技发展新的经济增长极、创新集聚地、管理示范区、开放先导区。</w:t>
      </w:r>
    </w:p>
    <w:p>
      <w:pPr>
        <w:pStyle w:val="5"/>
        <w:spacing w:line="560" w:lineRule="exact"/>
        <w:ind w:firstLine="643"/>
        <w:rPr>
          <w:color w:val="auto"/>
        </w:rPr>
      </w:pPr>
      <w:bookmarkStart w:id="106" w:name="_Toc65437820"/>
      <w:bookmarkStart w:id="107" w:name="_Toc71835939"/>
      <w:bookmarkStart w:id="108" w:name="_Toc67060735"/>
      <w:r>
        <w:rPr>
          <w:rFonts w:hint="eastAsia"/>
          <w:color w:val="auto"/>
        </w:rPr>
        <w:t>三、</w:t>
      </w:r>
      <w:bookmarkEnd w:id="104"/>
      <w:bookmarkEnd w:id="105"/>
      <w:bookmarkEnd w:id="106"/>
      <w:r>
        <w:rPr>
          <w:rFonts w:hint="eastAsia"/>
          <w:color w:val="auto"/>
        </w:rPr>
        <w:t>秦巴中药材试验示范站建设</w:t>
      </w:r>
      <w:bookmarkEnd w:id="107"/>
      <w:bookmarkEnd w:id="108"/>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充分利用西北农林科技大学科研优势和我市道地中药材资源优势，在汉滨区建设集技术研发、试验示范、成果推广、人才培养一体化的秦巴中药材试验示范站。根据我市中药材产业发展需求，依托西北农林科技大学优势学科，选派不同学科专家和研究生组成专家团队，配套建立试验所需的实验室、田间气象观测站、远程信息服务系统等设施，围绕中药材全产业链的关键、共性技术开展科技服务、科学研究及人才培养。在秦巴中药材试验示范站的基础上，按照“一站多点”模式在镇坪、宁陕、平利、岚皋、汉阴、石泉等县区建立优势特色中药材试验示范基地，组建“校</w:t>
      </w:r>
      <w:r>
        <w:rPr>
          <w:rFonts w:hint="eastAsia" w:eastAsia="仿宋_GB2312"/>
          <w:color w:val="auto"/>
          <w:szCs w:val="32"/>
          <w:lang w:eastAsia="zh-CN"/>
        </w:rPr>
        <w:t>—</w:t>
      </w:r>
      <w:r>
        <w:rPr>
          <w:rFonts w:hint="eastAsia" w:eastAsia="仿宋_GB2312"/>
          <w:color w:val="auto"/>
          <w:szCs w:val="32"/>
        </w:rPr>
        <w:t>政</w:t>
      </w:r>
      <w:r>
        <w:rPr>
          <w:rFonts w:hint="eastAsia" w:eastAsia="仿宋_GB2312"/>
          <w:color w:val="auto"/>
          <w:szCs w:val="32"/>
          <w:lang w:eastAsia="zh-CN"/>
        </w:rPr>
        <w:t>—</w:t>
      </w:r>
      <w:r>
        <w:rPr>
          <w:rFonts w:hint="eastAsia" w:eastAsia="仿宋_GB2312"/>
          <w:color w:val="auto"/>
          <w:szCs w:val="32"/>
        </w:rPr>
        <w:t>研</w:t>
      </w:r>
      <w:r>
        <w:rPr>
          <w:rFonts w:hint="eastAsia" w:eastAsia="仿宋_GB2312"/>
          <w:color w:val="auto"/>
          <w:szCs w:val="32"/>
          <w:lang w:eastAsia="zh-CN"/>
        </w:rPr>
        <w:t>—</w:t>
      </w:r>
      <w:r>
        <w:rPr>
          <w:rFonts w:hint="eastAsia" w:eastAsia="仿宋_GB2312"/>
          <w:color w:val="auto"/>
          <w:szCs w:val="32"/>
        </w:rPr>
        <w:t>推</w:t>
      </w:r>
      <w:r>
        <w:rPr>
          <w:rFonts w:hint="eastAsia" w:eastAsia="仿宋_GB2312"/>
          <w:color w:val="auto"/>
          <w:szCs w:val="32"/>
          <w:lang w:eastAsia="zh-CN"/>
        </w:rPr>
        <w:t>—</w:t>
      </w:r>
      <w:r>
        <w:rPr>
          <w:rFonts w:hint="eastAsia" w:eastAsia="仿宋_GB2312"/>
          <w:color w:val="auto"/>
          <w:szCs w:val="32"/>
        </w:rPr>
        <w:t>企</w:t>
      </w:r>
      <w:r>
        <w:rPr>
          <w:rFonts w:hint="eastAsia" w:eastAsia="仿宋_GB2312"/>
          <w:color w:val="auto"/>
          <w:szCs w:val="32"/>
          <w:lang w:eastAsia="zh-CN"/>
        </w:rPr>
        <w:t>—</w:t>
      </w:r>
      <w:r>
        <w:rPr>
          <w:rFonts w:hint="eastAsia" w:eastAsia="仿宋_GB2312"/>
          <w:color w:val="auto"/>
          <w:szCs w:val="32"/>
        </w:rPr>
        <w:t>农”多主体参与的中药材产业协同创新与推广联盟，加速科研成果示范推广，整体构成具有科学研究、示范推广、人才培养、创新创业孵化和国内外交流合作“五位一体”功能完备、国内一流的专业性试验示范站。</w:t>
      </w:r>
    </w:p>
    <w:p>
      <w:pPr>
        <w:pStyle w:val="5"/>
        <w:spacing w:line="560" w:lineRule="exact"/>
        <w:ind w:firstLine="643"/>
        <w:rPr>
          <w:color w:val="auto"/>
        </w:rPr>
      </w:pPr>
      <w:bookmarkStart w:id="109" w:name="_Toc67060736"/>
      <w:bookmarkStart w:id="110" w:name="_Toc65350327"/>
      <w:bookmarkStart w:id="111" w:name="_Toc65437821"/>
      <w:bookmarkStart w:id="112" w:name="_Toc65241432"/>
      <w:bookmarkStart w:id="113" w:name="_Toc71835940"/>
      <w:r>
        <w:rPr>
          <w:rFonts w:hint="eastAsia"/>
          <w:color w:val="auto"/>
        </w:rPr>
        <w:t>四、</w:t>
      </w:r>
      <w:bookmarkEnd w:id="109"/>
      <w:bookmarkEnd w:id="110"/>
      <w:bookmarkEnd w:id="111"/>
      <w:bookmarkEnd w:id="112"/>
      <w:bookmarkEnd w:id="113"/>
      <w:r>
        <w:rPr>
          <w:rFonts w:hint="eastAsia"/>
          <w:color w:val="auto"/>
        </w:rPr>
        <w:t>安康（汉阴）国家农业科技园区建设</w:t>
      </w:r>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围</w:t>
      </w:r>
      <w:r>
        <w:rPr>
          <w:rFonts w:hint="eastAsia" w:ascii="仿宋_GB2312" w:hAnsi="仿宋_GB2312" w:eastAsia="仿宋_GB2312" w:cs="仿宋_GB2312"/>
          <w:color w:val="auto"/>
          <w:szCs w:val="32"/>
        </w:rPr>
        <w:t>绕“5+X”农业产业体系，依托汉阴县雄厚的产业基础，精选特色产业农业高新技术，建好农业科技示范园，充分发挥科技示范引领作用，着力开展农业关键技术攻关和新品种、新技术、新模式的示范推广。通过5年建设，取得一批具有自主知识产权的新品种、新产品、</w:t>
      </w:r>
      <w:r>
        <w:rPr>
          <w:rFonts w:hint="eastAsia" w:eastAsia="仿宋_GB2312"/>
          <w:color w:val="auto"/>
          <w:szCs w:val="32"/>
        </w:rPr>
        <w:t>新成果，开发一批具有自主知识产权的新技术、新工艺，打造农业科技样板区和创新高地。</w:t>
      </w:r>
    </w:p>
    <w:p>
      <w:pPr>
        <w:pStyle w:val="5"/>
        <w:spacing w:line="560" w:lineRule="exact"/>
        <w:ind w:firstLine="643"/>
        <w:rPr>
          <w:color w:val="auto"/>
        </w:rPr>
      </w:pPr>
      <w:bookmarkStart w:id="114" w:name="_Toc65241433"/>
      <w:bookmarkStart w:id="115" w:name="_Toc65350328"/>
      <w:bookmarkStart w:id="116" w:name="_Toc65437822"/>
      <w:bookmarkStart w:id="117" w:name="_Toc71835941"/>
      <w:bookmarkStart w:id="118" w:name="_Toc67060737"/>
      <w:r>
        <w:rPr>
          <w:rFonts w:hint="eastAsia"/>
          <w:color w:val="auto"/>
        </w:rPr>
        <w:t>五、</w:t>
      </w:r>
      <w:bookmarkEnd w:id="114"/>
      <w:bookmarkEnd w:id="115"/>
      <w:bookmarkEnd w:id="116"/>
      <w:r>
        <w:rPr>
          <w:rFonts w:hint="eastAsia"/>
          <w:color w:val="auto"/>
        </w:rPr>
        <w:t>大学科技园建设</w:t>
      </w:r>
      <w:bookmarkEnd w:id="117"/>
      <w:bookmarkEnd w:id="118"/>
    </w:p>
    <w:p>
      <w:pPr>
        <w:snapToGrid w:val="0"/>
        <w:spacing w:line="560" w:lineRule="exact"/>
        <w:ind w:firstLine="640" w:firstLineChars="200"/>
        <w:rPr>
          <w:rFonts w:hint="eastAsia" w:ascii="仿宋_GB2312" w:hAnsi="仿宋_GB2312" w:eastAsia="仿宋_GB2312" w:cs="仿宋_GB2312"/>
          <w:color w:val="auto"/>
          <w:szCs w:val="32"/>
        </w:rPr>
      </w:pPr>
      <w:r>
        <w:rPr>
          <w:rFonts w:hint="eastAsia" w:eastAsia="仿宋_GB2312"/>
          <w:color w:val="auto"/>
          <w:szCs w:val="32"/>
        </w:rPr>
        <w:t>按照“政府引导、市场运作、校地合作、共建共享”的原则和“开放、整合、创新、发展”的运营理念，依托安康学院等地方高校的科研及人才优势，建设集“创新创业、成果转化、技术交易、科技服务”等功能于一体的大学科技园。实行“政、产、学、研”相结合，统一规划、分步实施、滚动发展，重点建设好成果展示交易、创新创意、企业孵化、科技服务等各大功能区，为社会、企业提供研发中试、检验检测、信息数据、专业</w:t>
      </w:r>
      <w:r>
        <w:rPr>
          <w:rFonts w:hint="eastAsia" w:ascii="仿宋_GB2312" w:hAnsi="仿宋_GB2312" w:eastAsia="仿宋_GB2312" w:cs="仿宋_GB2312"/>
          <w:color w:val="auto"/>
          <w:szCs w:val="32"/>
        </w:rPr>
        <w:t>咨询和培训等资源和服务，加速推动知识生产、技术创新、科技成果转化、高新技术企业孵化和科技开发服务，将其打造成为安康高新技术企业孵化基地、创新资源集聚基地、技术交易与科技服务基地、区域经济增长的新引擎。力争到2025年，引进入驻科技园的科技企业总数达到40家以上，技术交易额5000万元以上。</w:t>
      </w:r>
    </w:p>
    <w:p>
      <w:pPr>
        <w:pStyle w:val="4"/>
        <w:numPr>
          <w:ilvl w:val="0"/>
          <w:numId w:val="2"/>
        </w:numPr>
        <w:spacing w:line="560" w:lineRule="exact"/>
        <w:rPr>
          <w:color w:val="auto"/>
        </w:rPr>
      </w:pPr>
      <w:bookmarkStart w:id="119" w:name="_Toc12398"/>
      <w:r>
        <w:rPr>
          <w:rFonts w:hint="eastAsia"/>
          <w:color w:val="auto"/>
        </w:rPr>
        <w:t>提升现有平台科技创新能力</w:t>
      </w:r>
      <w:bookmarkEnd w:id="119"/>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充分发</w:t>
      </w:r>
      <w:r>
        <w:rPr>
          <w:rFonts w:hint="eastAsia" w:ascii="仿宋_GB2312" w:hAnsi="仿宋_GB2312" w:eastAsia="仿宋_GB2312" w:cs="仿宋_GB2312"/>
          <w:color w:val="auto"/>
          <w:szCs w:val="32"/>
        </w:rPr>
        <w:t>挥现有73个创新创业平</w:t>
      </w:r>
      <w:r>
        <w:rPr>
          <w:rFonts w:hint="eastAsia" w:eastAsia="仿宋_GB2312"/>
          <w:color w:val="auto"/>
          <w:szCs w:val="32"/>
        </w:rPr>
        <w:t>台载体的科技支撑和引领作用，做好资源整合共享，科学规划，合理布局，加强考核，不断提高科技创新成果产出率，持续提升科技创新活跃度，实现创新平台从“量的积累”转向“质的飞跃”，从“点的突破”步入“系统能力提升”。</w:t>
      </w:r>
    </w:p>
    <w:p>
      <w:pPr>
        <w:pStyle w:val="5"/>
        <w:spacing w:line="560" w:lineRule="exact"/>
        <w:ind w:firstLine="643"/>
        <w:rPr>
          <w:color w:val="auto"/>
        </w:rPr>
      </w:pPr>
      <w:r>
        <w:rPr>
          <w:rFonts w:hint="eastAsia"/>
          <w:color w:val="auto"/>
        </w:rPr>
        <w:t>一、合理统筹配置科技资源</w:t>
      </w:r>
    </w:p>
    <w:p>
      <w:pPr>
        <w:snapToGrid w:val="0"/>
        <w:spacing w:line="560" w:lineRule="exact"/>
        <w:ind w:firstLine="640" w:firstLineChars="200"/>
        <w:rPr>
          <w:rFonts w:hint="eastAsia" w:eastAsia="仿宋_GB2312"/>
          <w:color w:val="auto"/>
          <w:szCs w:val="32"/>
        </w:rPr>
      </w:pPr>
      <w:r>
        <w:rPr>
          <w:rFonts w:hint="eastAsia" w:eastAsia="仿宋_GB2312"/>
          <w:color w:val="auto"/>
          <w:szCs w:val="32"/>
        </w:rPr>
        <w:t>鼓励平台创新体制机制，赋予创新平台科研、分配、内部人事的自主权，完善绩效评价机制，规范管理制度，激发创新潜能，增强创新能力。以科技需求为导向，鼓励现有科技创新平台在课题遴选、项目管理、用人机制和薪酬待遇等方面向重点特色产业倾斜，鼓励科技创新平台向全社会开放共享，充分发挥市场在创新资源配置中的决定性作用。</w:t>
      </w:r>
    </w:p>
    <w:p>
      <w:pPr>
        <w:pStyle w:val="5"/>
        <w:spacing w:line="560" w:lineRule="exact"/>
        <w:ind w:firstLine="643"/>
        <w:rPr>
          <w:color w:val="auto"/>
        </w:rPr>
      </w:pPr>
      <w:r>
        <w:rPr>
          <w:rFonts w:hint="eastAsia"/>
          <w:color w:val="auto"/>
        </w:rPr>
        <w:t>二、完善</w:t>
      </w:r>
      <w:r>
        <w:rPr>
          <w:color w:val="auto"/>
        </w:rPr>
        <w:t>科技创新投入机制</w:t>
      </w:r>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完善科技创新平台依托单位投资主体机制，夯实依托单位投资主体责任，落实好企业类依托单位研发费用加计扣除优惠政策，确保平台基本建设与</w:t>
      </w:r>
      <w:r>
        <w:rPr>
          <w:rFonts w:hint="eastAsia" w:ascii="仿宋_GB2312" w:hAnsi="仿宋_GB2312" w:eastAsia="仿宋_GB2312" w:cs="仿宋_GB2312"/>
          <w:color w:val="auto"/>
          <w:szCs w:val="32"/>
        </w:rPr>
        <w:t>运行经费保障。建立财政科技投入稳步增长机制，不断提高研究与实验发展（R&amp;D）经费占比水平。积极拓宽资金的投入渠道，形成政府、依托</w:t>
      </w:r>
      <w:r>
        <w:rPr>
          <w:rFonts w:hint="eastAsia" w:eastAsia="仿宋_GB2312"/>
          <w:color w:val="auto"/>
          <w:szCs w:val="32"/>
        </w:rPr>
        <w:t>单位、社会资本等协作共建机制。</w:t>
      </w:r>
    </w:p>
    <w:p>
      <w:pPr>
        <w:pStyle w:val="5"/>
        <w:spacing w:line="560" w:lineRule="exact"/>
        <w:ind w:firstLine="643"/>
        <w:rPr>
          <w:color w:val="auto"/>
        </w:rPr>
      </w:pPr>
      <w:r>
        <w:rPr>
          <w:rFonts w:hint="eastAsia"/>
          <w:color w:val="auto"/>
        </w:rPr>
        <w:t>三、强化科技创新人才支撑</w:t>
      </w:r>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围绕我市产业科技需求，做好科技领军人才、学科学术带头人的引进和培育，不断充实平台科研后备力量。进一步完善人才引进、留用、竞争激励机制，确保人才引得进、留得住、用得好。</w:t>
      </w:r>
    </w:p>
    <w:p>
      <w:pPr>
        <w:pStyle w:val="5"/>
        <w:spacing w:line="560" w:lineRule="exact"/>
        <w:ind w:firstLine="643"/>
        <w:rPr>
          <w:color w:val="auto"/>
        </w:rPr>
      </w:pPr>
      <w:r>
        <w:rPr>
          <w:color w:val="auto"/>
        </w:rPr>
        <w:t>四</w:t>
      </w:r>
      <w:r>
        <w:rPr>
          <w:rFonts w:hint="eastAsia"/>
          <w:color w:val="auto"/>
        </w:rPr>
        <w:t>、</w:t>
      </w:r>
      <w:r>
        <w:rPr>
          <w:color w:val="auto"/>
        </w:rPr>
        <w:t>加强平台载体监督考核</w:t>
      </w:r>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实施平台动态分类管理，强化技术创新、专利发明、成果转化、技术推广、标准制定等目标任务考核。实行优胜劣汰机制，淘汰或改造建设停滞不前、缺乏科技创新活力的“僵尸”平台，引导科技创新平台有序健康发展。</w:t>
      </w:r>
    </w:p>
    <w:p>
      <w:pPr>
        <w:pStyle w:val="5"/>
        <w:spacing w:line="560" w:lineRule="exact"/>
        <w:ind w:firstLine="643"/>
        <w:rPr>
          <w:color w:val="auto"/>
        </w:rPr>
      </w:pPr>
      <w:r>
        <w:rPr>
          <w:rFonts w:hint="eastAsia"/>
          <w:color w:val="auto"/>
        </w:rPr>
        <w:t> 五、不断优化创新环境</w:t>
      </w:r>
    </w:p>
    <w:p>
      <w:pPr>
        <w:snapToGrid w:val="0"/>
        <w:spacing w:line="560" w:lineRule="exact"/>
        <w:ind w:firstLine="640" w:firstLineChars="200"/>
        <w:rPr>
          <w:color w:val="auto"/>
        </w:rPr>
      </w:pPr>
      <w:r>
        <w:rPr>
          <w:rFonts w:hint="eastAsia" w:eastAsia="仿宋_GB2312"/>
          <w:color w:val="auto"/>
          <w:szCs w:val="32"/>
        </w:rPr>
        <w:t>深入推进“放管服”和科技体制改革，进一步减负放权，完善技术创新激励评价机制。支持平台、企业创新科技成果、知识产权归属和利益分配激励机制，推动技术要素以多种形式参与收益分配。总结推广创新平台的成功经验和良好做法，加强对重点项目、重大成果、典型人物和企业的宣传报道，培育“鼓励创新、宽容失败”的创新文化，营造尊重人才、尊重创造的社会氛围。</w:t>
      </w:r>
    </w:p>
    <w:tbl>
      <w:tblPr>
        <w:tblStyle w:val="24"/>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504" w:type="dxa"/>
            <w:shd w:val="clear" w:color="auto" w:fill="auto"/>
          </w:tcPr>
          <w:p>
            <w:pPr>
              <w:spacing w:line="400" w:lineRule="exact"/>
              <w:jc w:val="center"/>
              <w:rPr>
                <w:rFonts w:ascii="宋体" w:hAnsi="宋体"/>
                <w:b/>
                <w:bCs/>
                <w:color w:val="auto"/>
                <w:sz w:val="24"/>
                <w:szCs w:val="24"/>
              </w:rPr>
            </w:pPr>
            <w:bookmarkStart w:id="120" w:name="_Toc65439636"/>
            <w:bookmarkStart w:id="121" w:name="_Toc75529317"/>
            <w:bookmarkStart w:id="122" w:name="_Toc65437827"/>
            <w:bookmarkStart w:id="123" w:name="_Toc65350338"/>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1</w:t>
            </w:r>
            <w:r>
              <w:rPr>
                <w:rFonts w:cs="仿宋" w:asciiTheme="minorEastAsia" w:hAnsiTheme="minorEastAsia" w:eastAsiaTheme="minorEastAsia"/>
                <w:b/>
                <w:color w:val="auto"/>
                <w:sz w:val="24"/>
                <w:szCs w:val="24"/>
              </w:rPr>
              <w:fldChar w:fldCharType="end"/>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创新平台提升</w:t>
            </w:r>
            <w:bookmarkEnd w:id="120"/>
            <w:r>
              <w:rPr>
                <w:rFonts w:hint="eastAsia" w:cs="仿宋" w:asciiTheme="minorEastAsia" w:hAnsiTheme="minorEastAsia" w:eastAsiaTheme="minorEastAsia"/>
                <w:b/>
                <w:color w:val="auto"/>
                <w:sz w:val="24"/>
                <w:szCs w:val="24"/>
              </w:rPr>
              <w:t>工程</w:t>
            </w:r>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504" w:type="dxa"/>
            <w:shd w:val="clear" w:color="auto" w:fill="auto"/>
          </w:tcPr>
          <w:p>
            <w:pPr>
              <w:spacing w:line="400" w:lineRule="exact"/>
              <w:ind w:firstLine="480" w:firstLineChars="200"/>
              <w:jc w:val="left"/>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1.新建安康市秦创原大数据分析及服务平台、秦创原安康创新飞地孵化园、秦巴中药材试验示范站、安康（汉阴）国家农业科技园区和大学科技园等创新载体5个。</w:t>
            </w:r>
          </w:p>
          <w:p>
            <w:pPr>
              <w:spacing w:line="400" w:lineRule="exact"/>
              <w:ind w:firstLine="480" w:firstLineChars="200"/>
              <w:jc w:val="left"/>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2.新建省级及以上重点实验室、工程技术研究中心、“四主体一联合”等平台10个；院士（专家）工作站80～100个；省级及以上科技企业孵化器达到6个；组建产业技术创新战略联盟5个，建设众创空间20个。</w:t>
            </w:r>
          </w:p>
          <w:p>
            <w:pPr>
              <w:spacing w:line="400" w:lineRule="exact"/>
              <w:ind w:firstLine="480" w:firstLineChars="200"/>
              <w:jc w:val="left"/>
              <w:rPr>
                <w:rFonts w:cs="仿宋" w:asciiTheme="minorEastAsia" w:hAnsiTheme="minorEastAsia" w:eastAsiaTheme="minorEastAsia"/>
                <w:color w:val="auto"/>
                <w:sz w:val="24"/>
                <w:szCs w:val="24"/>
              </w:rPr>
            </w:pPr>
            <w:r>
              <w:rPr>
                <w:rFonts w:cs="仿宋" w:asciiTheme="minorEastAsia" w:hAnsiTheme="minorEastAsia" w:eastAsiaTheme="minorEastAsia"/>
                <w:color w:val="auto"/>
                <w:sz w:val="24"/>
                <w:szCs w:val="24"/>
              </w:rPr>
              <w:t>3.</w:t>
            </w:r>
            <w:r>
              <w:rPr>
                <w:rFonts w:hint="eastAsia" w:cs="仿宋" w:asciiTheme="minorEastAsia" w:hAnsiTheme="minorEastAsia" w:eastAsiaTheme="minorEastAsia"/>
                <w:color w:val="auto"/>
                <w:sz w:val="24"/>
                <w:szCs w:val="24"/>
              </w:rPr>
              <w:t>对现有7</w:t>
            </w:r>
            <w:r>
              <w:rPr>
                <w:rFonts w:cs="仿宋" w:asciiTheme="minorEastAsia" w:hAnsiTheme="minorEastAsia" w:eastAsiaTheme="minorEastAsia"/>
                <w:color w:val="auto"/>
                <w:sz w:val="24"/>
                <w:szCs w:val="24"/>
              </w:rPr>
              <w:t>3个</w:t>
            </w:r>
            <w:r>
              <w:rPr>
                <w:rFonts w:hint="eastAsia" w:cs="仿宋" w:asciiTheme="minorEastAsia" w:hAnsiTheme="minorEastAsia" w:eastAsiaTheme="minorEastAsia"/>
                <w:color w:val="auto"/>
                <w:sz w:val="24"/>
                <w:szCs w:val="24"/>
              </w:rPr>
              <w:t>科技创新平台进行提升改造或资源整合，科技创新活跃度明显增强，科技成果产出和转化率明显提升。</w:t>
            </w:r>
          </w:p>
          <w:p>
            <w:pPr>
              <w:spacing w:line="400" w:lineRule="exact"/>
              <w:ind w:firstLine="480" w:firstLineChars="200"/>
              <w:jc w:val="left"/>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4.持续加大安康高新区国家创新型特色园区、旬阳省级高新区的建设力度，实现省级以上园区创新平台全覆盖。</w:t>
            </w:r>
          </w:p>
          <w:p>
            <w:pPr>
              <w:spacing w:line="400" w:lineRule="exact"/>
              <w:ind w:firstLine="480" w:firstLineChars="200"/>
              <w:jc w:val="left"/>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w:t>
            </w:r>
            <w:r>
              <w:rPr>
                <w:rFonts w:cs="仿宋" w:asciiTheme="minorEastAsia" w:hAnsiTheme="minorEastAsia" w:eastAsiaTheme="minorEastAsia"/>
                <w:color w:val="auto"/>
                <w:sz w:val="24"/>
                <w:szCs w:val="24"/>
              </w:rPr>
              <w:t>.加大农业科技园区创建支持力度</w:t>
            </w:r>
            <w:r>
              <w:rPr>
                <w:rFonts w:hint="eastAsia" w:cs="仿宋" w:asciiTheme="minorEastAsia" w:hAnsiTheme="minorEastAsia" w:eastAsiaTheme="minorEastAsia"/>
                <w:color w:val="auto"/>
                <w:sz w:val="24"/>
                <w:szCs w:val="24"/>
              </w:rPr>
              <w:t>，</w:t>
            </w:r>
            <w:r>
              <w:rPr>
                <w:rFonts w:cs="仿宋" w:asciiTheme="minorEastAsia" w:hAnsiTheme="minorEastAsia" w:eastAsiaTheme="minorEastAsia"/>
                <w:color w:val="auto"/>
                <w:sz w:val="24"/>
                <w:szCs w:val="24"/>
              </w:rPr>
              <w:t>实现</w:t>
            </w:r>
            <w:r>
              <w:rPr>
                <w:rFonts w:hint="eastAsia" w:cs="仿宋" w:asciiTheme="minorEastAsia" w:hAnsiTheme="minorEastAsia" w:eastAsiaTheme="minorEastAsia"/>
                <w:color w:val="auto"/>
                <w:sz w:val="24"/>
                <w:szCs w:val="24"/>
              </w:rPr>
              <w:t>重点县（</w:t>
            </w:r>
            <w:r>
              <w:rPr>
                <w:rFonts w:hint="eastAsia" w:cs="仿宋" w:asciiTheme="minorEastAsia" w:hAnsiTheme="minorEastAsia" w:eastAsiaTheme="minorEastAsia"/>
                <w:color w:val="auto"/>
                <w:sz w:val="24"/>
                <w:szCs w:val="24"/>
                <w:lang w:val="en-US" w:eastAsia="zh-CN"/>
              </w:rPr>
              <w:t>市、</w:t>
            </w:r>
            <w:r>
              <w:rPr>
                <w:rFonts w:hint="eastAsia" w:cs="仿宋" w:asciiTheme="minorEastAsia" w:hAnsiTheme="minorEastAsia" w:eastAsiaTheme="minorEastAsia"/>
                <w:color w:val="auto"/>
                <w:sz w:val="24"/>
                <w:szCs w:val="24"/>
              </w:rPr>
              <w:t>区）省级农业科技园区全覆盖。</w:t>
            </w:r>
          </w:p>
          <w:p>
            <w:pPr>
              <w:spacing w:line="400" w:lineRule="exact"/>
              <w:ind w:firstLine="480" w:firstLineChars="200"/>
              <w:jc w:val="left"/>
              <w:rPr>
                <w:rFonts w:hint="eastAsia" w:cs="仿宋" w:asciiTheme="minorEastAsia" w:hAnsiTheme="minorEastAsia" w:eastAsiaTheme="minorEastAsia"/>
                <w:color w:val="auto"/>
                <w:sz w:val="24"/>
                <w:szCs w:val="24"/>
              </w:rPr>
            </w:pPr>
            <w:r>
              <w:rPr>
                <w:rFonts w:cs="仿宋" w:asciiTheme="minorEastAsia" w:hAnsiTheme="minorEastAsia" w:eastAsiaTheme="minorEastAsia"/>
                <w:color w:val="auto"/>
                <w:sz w:val="24"/>
                <w:szCs w:val="24"/>
              </w:rPr>
              <w:t>6.</w:t>
            </w:r>
            <w:r>
              <w:rPr>
                <w:rFonts w:hint="eastAsia" w:cs="仿宋" w:asciiTheme="minorEastAsia" w:hAnsiTheme="minorEastAsia" w:eastAsiaTheme="minorEastAsia"/>
                <w:color w:val="auto"/>
                <w:sz w:val="24"/>
                <w:szCs w:val="24"/>
              </w:rPr>
              <w:t>支持富硒食品、新型材料、智能制造、生物医药等领域有条件的企业自建</w:t>
            </w:r>
          </w:p>
          <w:p>
            <w:pPr>
              <w:spacing w:line="400" w:lineRule="exact"/>
              <w:jc w:val="left"/>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或共建创新研发服务平台。</w:t>
            </w:r>
          </w:p>
        </w:tc>
      </w:tr>
    </w:tbl>
    <w:p>
      <w:pPr>
        <w:spacing w:line="560" w:lineRule="exact"/>
        <w:rPr>
          <w:color w:val="auto"/>
        </w:rPr>
      </w:pPr>
      <w:r>
        <w:rPr>
          <w:color w:val="auto"/>
        </w:rPr>
        <w:br w:type="page"/>
      </w:r>
    </w:p>
    <w:p>
      <w:pPr>
        <w:pStyle w:val="3"/>
        <w:spacing w:after="312" w:line="560" w:lineRule="exact"/>
        <w:rPr>
          <w:color w:val="auto"/>
        </w:rPr>
      </w:pPr>
      <w:bookmarkStart w:id="124" w:name="_Toc67060738"/>
      <w:bookmarkStart w:id="125" w:name="_Toc71835942"/>
      <w:bookmarkStart w:id="126" w:name="_Toc22701"/>
      <w:r>
        <w:rPr>
          <w:rFonts w:hint="eastAsia"/>
          <w:color w:val="auto"/>
        </w:rPr>
        <w:t>第三章 着力培育创新</w:t>
      </w:r>
      <w:r>
        <w:rPr>
          <w:rFonts w:hint="eastAsia"/>
          <w:color w:val="auto"/>
          <w:lang w:eastAsia="zh-CN"/>
        </w:rPr>
        <w:t>主体，</w:t>
      </w:r>
      <w:r>
        <w:rPr>
          <w:rFonts w:hint="eastAsia"/>
          <w:color w:val="auto"/>
        </w:rPr>
        <w:t>不断提升发展动能</w:t>
      </w:r>
      <w:bookmarkEnd w:id="124"/>
      <w:bookmarkEnd w:id="125"/>
      <w:bookmarkEnd w:id="126"/>
    </w:p>
    <w:p>
      <w:pPr>
        <w:pStyle w:val="4"/>
        <w:spacing w:line="560" w:lineRule="exact"/>
        <w:rPr>
          <w:color w:val="auto"/>
        </w:rPr>
      </w:pPr>
      <w:bookmarkStart w:id="127" w:name="_Toc65241444"/>
      <w:bookmarkStart w:id="128" w:name="_Toc28028"/>
      <w:bookmarkStart w:id="129" w:name="_Toc65350368"/>
      <w:bookmarkStart w:id="130" w:name="_Toc71835943"/>
      <w:bookmarkStart w:id="131" w:name="_Toc67060739"/>
      <w:bookmarkStart w:id="132" w:name="_Toc65437858"/>
      <w:r>
        <w:rPr>
          <w:rFonts w:hint="eastAsia"/>
          <w:color w:val="auto"/>
        </w:rPr>
        <w:t>第一节 加快培育科技型企业</w:t>
      </w:r>
      <w:bookmarkEnd w:id="127"/>
      <w:bookmarkEnd w:id="128"/>
      <w:bookmarkEnd w:id="129"/>
      <w:bookmarkEnd w:id="130"/>
      <w:bookmarkEnd w:id="131"/>
      <w:bookmarkEnd w:id="132"/>
    </w:p>
    <w:p>
      <w:pPr>
        <w:pStyle w:val="5"/>
        <w:spacing w:line="560" w:lineRule="exact"/>
        <w:ind w:firstLine="643"/>
        <w:rPr>
          <w:color w:val="auto"/>
        </w:rPr>
      </w:pPr>
      <w:bookmarkStart w:id="133" w:name="_Toc71835944"/>
      <w:bookmarkStart w:id="134" w:name="_Toc67060740"/>
      <w:r>
        <w:rPr>
          <w:rFonts w:hint="eastAsia"/>
          <w:color w:val="auto"/>
        </w:rPr>
        <w:t>一、壮大科技型企业队伍</w:t>
      </w:r>
      <w:bookmarkEnd w:id="133"/>
      <w:bookmarkEnd w:id="13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建立和完善“创业孵化、创新支撑、融资服务”的科技型企业培育机制，遴选一批创新基础好、有发展潜力的科技型企业纳入省科技型企业培育库，对入库培育企业实行动态管理、跟踪服务。加大政策奖励力度，对纳入省高新技术企业培育库的企业、新认定的高新技术企业和重新认定的高新技术企业给予一定的奖励。</w:t>
      </w:r>
    </w:p>
    <w:p>
      <w:pPr>
        <w:pStyle w:val="5"/>
        <w:spacing w:line="560" w:lineRule="exact"/>
        <w:ind w:firstLine="643"/>
        <w:rPr>
          <w:color w:val="auto"/>
        </w:rPr>
      </w:pPr>
      <w:bookmarkStart w:id="135" w:name="_Toc71835945"/>
      <w:bookmarkStart w:id="136" w:name="_Toc67060741"/>
      <w:r>
        <w:rPr>
          <w:rFonts w:hint="eastAsia"/>
          <w:color w:val="auto"/>
        </w:rPr>
        <w:t>二、打造创新型企业集群</w:t>
      </w:r>
      <w:bookmarkEnd w:id="135"/>
      <w:bookmarkEnd w:id="136"/>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支持行业龙头企业牵头组建或参加国家、省产业技术创新战略联盟，鼓励行业龙头企业实施技术标准战略。优先推荐行业龙头企业进入省科技企业上市培育库，支持入库企业发行私募债券、集合票据等，拓宽入库企业融资渠道。优先支持入库培育企业和高新技术企业申报各类科技和产业化专项资金和计划项目。进一步做好企业科技税收政策落实工作，支持企业做大做强。</w:t>
      </w:r>
    </w:p>
    <w:p>
      <w:pPr>
        <w:pStyle w:val="5"/>
        <w:spacing w:line="560" w:lineRule="exact"/>
        <w:ind w:firstLine="643"/>
        <w:rPr>
          <w:color w:val="auto"/>
        </w:rPr>
      </w:pPr>
      <w:bookmarkStart w:id="137" w:name="_Toc71835946"/>
      <w:bookmarkStart w:id="138" w:name="_Toc67060742"/>
      <w:r>
        <w:rPr>
          <w:rFonts w:hint="eastAsia"/>
          <w:color w:val="auto"/>
        </w:rPr>
        <w:t>三、推进高成长型科技企业上市培育</w:t>
      </w:r>
      <w:bookmarkEnd w:id="137"/>
      <w:bookmarkEnd w:id="138"/>
    </w:p>
    <w:p>
      <w:pPr>
        <w:snapToGrid w:val="0"/>
        <w:spacing w:line="560" w:lineRule="exact"/>
        <w:ind w:firstLine="640" w:firstLineChars="200"/>
        <w:rPr>
          <w:rFonts w:hint="eastAsia" w:eastAsia="仿宋_GB2312"/>
          <w:color w:val="auto"/>
          <w:szCs w:val="32"/>
        </w:rPr>
      </w:pPr>
      <w:r>
        <w:rPr>
          <w:rFonts w:hint="eastAsia" w:eastAsia="仿宋_GB2312"/>
          <w:color w:val="auto"/>
          <w:szCs w:val="32"/>
        </w:rPr>
        <w:t>不断调整企业上市工作思路，积极引导我市千亿级三大产业的航母型企业上市，主攻进入门槛相对较低、上市周期相对较短的“新三板”市场上市，由低到高，逐步升级。引导企业牢固树立上市发展信心，按照现代企业管理制度的要求，切实理顺产权关系，完善企业法人治理结构，严格财务制度，规范企业管理。</w:t>
      </w:r>
    </w:p>
    <w:p>
      <w:pPr>
        <w:pStyle w:val="5"/>
        <w:spacing w:line="560" w:lineRule="exact"/>
        <w:ind w:firstLine="643"/>
        <w:rPr>
          <w:color w:val="auto"/>
        </w:rPr>
      </w:pPr>
      <w:bookmarkStart w:id="139" w:name="_Toc67060743"/>
      <w:bookmarkStart w:id="140" w:name="_Toc71835947"/>
      <w:r>
        <w:rPr>
          <w:rFonts w:hint="eastAsia"/>
          <w:color w:val="auto"/>
        </w:rPr>
        <w:t>四、加大对小微企业</w:t>
      </w:r>
      <w:bookmarkEnd w:id="139"/>
      <w:bookmarkEnd w:id="140"/>
      <w:r>
        <w:rPr>
          <w:rFonts w:hint="eastAsia"/>
          <w:color w:val="auto"/>
        </w:rPr>
        <w:t>科技支持力度</w:t>
      </w:r>
    </w:p>
    <w:p>
      <w:pPr>
        <w:snapToGrid w:val="0"/>
        <w:spacing w:line="560" w:lineRule="exact"/>
        <w:ind w:firstLine="640" w:firstLineChars="200"/>
        <w:rPr>
          <w:rFonts w:hint="eastAsia" w:eastAsia="仿宋_GB2312"/>
          <w:color w:val="auto"/>
          <w:szCs w:val="32"/>
        </w:rPr>
      </w:pPr>
      <w:r>
        <w:rPr>
          <w:rFonts w:hint="eastAsia" w:eastAsia="仿宋_GB2312"/>
          <w:color w:val="auto"/>
          <w:szCs w:val="32"/>
        </w:rPr>
        <w:t>进一步完善科技型小微企业的扶持政策，引导资金、技术、人才等创新资源向科技型小微企业集聚，注重为科技型小微企业与高等院校、科研机构合作提供便利化服务，着力做好科技型小微企业的技术转移与科技成果转化工作。</w:t>
      </w:r>
    </w:p>
    <w:p>
      <w:pPr>
        <w:pStyle w:val="4"/>
        <w:spacing w:line="560" w:lineRule="exact"/>
        <w:rPr>
          <w:color w:val="auto"/>
        </w:rPr>
      </w:pPr>
      <w:bookmarkStart w:id="141" w:name="_Toc67060744"/>
      <w:bookmarkStart w:id="142" w:name="_Toc5915"/>
      <w:bookmarkStart w:id="143" w:name="_Toc71835948"/>
      <w:r>
        <w:rPr>
          <w:rFonts w:hint="eastAsia"/>
          <w:color w:val="auto"/>
        </w:rPr>
        <w:t>第二节 提升企业自主创新能力</w:t>
      </w:r>
      <w:bookmarkEnd w:id="141"/>
      <w:bookmarkEnd w:id="142"/>
      <w:bookmarkEnd w:id="143"/>
    </w:p>
    <w:p>
      <w:pPr>
        <w:pStyle w:val="5"/>
        <w:spacing w:line="560" w:lineRule="exact"/>
        <w:ind w:firstLine="643"/>
        <w:rPr>
          <w:color w:val="auto"/>
        </w:rPr>
      </w:pPr>
      <w:bookmarkStart w:id="144" w:name="_Toc67060745"/>
      <w:bookmarkStart w:id="145" w:name="_Toc71835949"/>
      <w:r>
        <w:rPr>
          <w:rFonts w:hint="eastAsia"/>
          <w:color w:val="auto"/>
        </w:rPr>
        <w:t>一、强化企业创新主体地位</w:t>
      </w:r>
      <w:bookmarkEnd w:id="144"/>
      <w:bookmarkEnd w:id="145"/>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健全以企业为投入主体、政府为政策引导、科技与市场紧密结合的研发激励机制。积极引导资金、人才、技术等各类创新资源要素向企业集聚，使企业成为研发投入、技术创新、成果应用和专利申请的主体。鼓励企业加大技术创新示范，推广利用新技术、新工艺，开发新产品，培育一批拥有自主知识产权、具有核心竞争力的高端品牌和骨干企业。</w:t>
      </w:r>
    </w:p>
    <w:p>
      <w:pPr>
        <w:pStyle w:val="5"/>
        <w:spacing w:line="560" w:lineRule="exact"/>
        <w:ind w:firstLine="643"/>
        <w:rPr>
          <w:color w:val="auto"/>
        </w:rPr>
      </w:pPr>
      <w:bookmarkStart w:id="146" w:name="_Toc67060746"/>
      <w:bookmarkStart w:id="147" w:name="_Toc71835950"/>
      <w:r>
        <w:rPr>
          <w:rFonts w:hint="eastAsia"/>
          <w:color w:val="auto"/>
        </w:rPr>
        <w:t>二、推动企业加大研发投入</w:t>
      </w:r>
      <w:bookmarkEnd w:id="146"/>
      <w:bookmarkEnd w:id="147"/>
    </w:p>
    <w:p>
      <w:pPr>
        <w:snapToGrid w:val="0"/>
        <w:spacing w:line="560" w:lineRule="exact"/>
        <w:ind w:firstLine="640" w:firstLineChars="200"/>
        <w:rPr>
          <w:rFonts w:hint="eastAsia" w:eastAsia="仿宋_GB2312"/>
          <w:color w:val="auto"/>
          <w:szCs w:val="32"/>
        </w:rPr>
      </w:pPr>
      <w:r>
        <w:rPr>
          <w:rFonts w:hint="eastAsia" w:eastAsia="仿宋_GB2312"/>
          <w:color w:val="auto"/>
          <w:szCs w:val="32"/>
        </w:rPr>
        <w:t>落实国家有关研发费用税前加计扣除，重大装备首台（套）、重点新材料首批次、重要工业软件首版次保险补偿，高新技术企业税收优惠等政策。完善财政奖补政策，降低奖补门槛，激励企业提高研发投入强度。运用科技项目资金杠杆，推动规模以上工业企业、服务业企业、农业龙头企业和特级建筑企业等设立研发机构，实现重点企业研发活动全覆盖。鼓励企业建立科技研发准备金制度。有效整合政府各类资金资源，优先支持建有研发机构的企业与项目，优先支持企业研发机构创新活动，优先支持公共研发平台建设。</w:t>
      </w:r>
    </w:p>
    <w:p>
      <w:pPr>
        <w:pStyle w:val="5"/>
        <w:spacing w:line="560" w:lineRule="exact"/>
        <w:ind w:firstLine="643"/>
        <w:rPr>
          <w:color w:val="auto"/>
        </w:rPr>
      </w:pPr>
      <w:bookmarkStart w:id="148" w:name="_Toc71835951"/>
      <w:bookmarkStart w:id="149" w:name="_Toc67060747"/>
      <w:r>
        <w:rPr>
          <w:rFonts w:hint="eastAsia"/>
          <w:color w:val="auto"/>
        </w:rPr>
        <w:t>三、提升企业核心竞争力</w:t>
      </w:r>
      <w:bookmarkEnd w:id="148"/>
      <w:bookmarkEnd w:id="149"/>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推动企业院士（专家）工作站建设和能力提升。支持创新型领军企业和行业龙头企业建设省级企业创新中心，争创国家级企业研发机构。鼓励有条件的企业入驻秦创原安康创新飞地孵化园。引导本地中小型企业运用新型科技推动产品制造技术创新，实现新技术带动新产品研发，促进企业既注重新技术的自主研发，又善于运用新科技成果提高企业研发能力。</w:t>
      </w:r>
    </w:p>
    <w:p>
      <w:pPr>
        <w:pStyle w:val="4"/>
        <w:spacing w:line="560" w:lineRule="exact"/>
        <w:rPr>
          <w:color w:val="auto"/>
        </w:rPr>
      </w:pPr>
      <w:bookmarkStart w:id="150" w:name="_Toc65437865"/>
      <w:bookmarkStart w:id="151" w:name="_Toc28686"/>
      <w:bookmarkStart w:id="152" w:name="_Toc65241452"/>
      <w:bookmarkStart w:id="153" w:name="_Toc65350376"/>
      <w:bookmarkStart w:id="154" w:name="_Toc71835952"/>
      <w:bookmarkStart w:id="155" w:name="_Toc67060748"/>
      <w:bookmarkStart w:id="156" w:name="_Toc65350371"/>
      <w:bookmarkStart w:id="157" w:name="_Toc65241447"/>
      <w:bookmarkStart w:id="158" w:name="_Toc65437861"/>
      <w:r>
        <w:rPr>
          <w:rFonts w:hint="eastAsia"/>
          <w:color w:val="auto"/>
        </w:rPr>
        <w:t>第三节 打造企业创新联合体</w:t>
      </w:r>
      <w:bookmarkEnd w:id="150"/>
      <w:bookmarkEnd w:id="151"/>
      <w:bookmarkEnd w:id="152"/>
      <w:bookmarkEnd w:id="153"/>
      <w:bookmarkEnd w:id="154"/>
      <w:bookmarkEnd w:id="155"/>
    </w:p>
    <w:p>
      <w:pPr>
        <w:pStyle w:val="5"/>
        <w:spacing w:line="560" w:lineRule="exact"/>
        <w:ind w:firstLine="643"/>
        <w:rPr>
          <w:color w:val="auto"/>
        </w:rPr>
      </w:pPr>
      <w:bookmarkStart w:id="159" w:name="_Toc71835953"/>
      <w:bookmarkStart w:id="160" w:name="_Toc67060749"/>
      <w:r>
        <w:rPr>
          <w:rFonts w:hint="eastAsia"/>
          <w:color w:val="auto"/>
        </w:rPr>
        <w:t>一、龙头企业引领创新联合体</w:t>
      </w:r>
      <w:bookmarkEnd w:id="159"/>
      <w:bookmarkEnd w:id="160"/>
    </w:p>
    <w:p>
      <w:pPr>
        <w:snapToGrid w:val="0"/>
        <w:spacing w:line="560" w:lineRule="exact"/>
        <w:ind w:firstLine="640" w:firstLineChars="200"/>
        <w:rPr>
          <w:rFonts w:hint="eastAsia" w:eastAsia="仿宋_GB2312"/>
          <w:color w:val="auto"/>
          <w:szCs w:val="32"/>
        </w:rPr>
      </w:pPr>
      <w:r>
        <w:rPr>
          <w:rFonts w:hint="eastAsia" w:eastAsia="仿宋_GB2312"/>
          <w:color w:val="auto"/>
          <w:szCs w:val="32"/>
        </w:rPr>
        <w:t>依托龙头企业的整合能力，牵头组建创新联合体，促使大中小企业提早介入基础研究和应用研究，促进高校和科研院所延伸参与应用研究和产品开发，实现基础研究、应用研究、试验开发和产业创新深度融合、相互促进。打好关键核心技术攻坚战和产业基础高级化、产业链现代化攻坚战，提升科技创新系统能力，激发企业作为市场主体、创新主体的活力，带动政产学研用深度合作，形成跨领域、跨区域、多主体协作的创新合作伙伴关系。</w:t>
      </w:r>
      <w:bookmarkStart w:id="161" w:name="_Toc71835954"/>
      <w:bookmarkStart w:id="162" w:name="_Toc67060750"/>
    </w:p>
    <w:p>
      <w:pPr>
        <w:pStyle w:val="5"/>
        <w:spacing w:line="560" w:lineRule="exact"/>
        <w:ind w:firstLine="643"/>
        <w:rPr>
          <w:color w:val="auto"/>
        </w:rPr>
      </w:pPr>
      <w:r>
        <w:rPr>
          <w:rFonts w:hint="eastAsia"/>
          <w:color w:val="auto"/>
        </w:rPr>
        <w:t>二、需求导向聚集创新联合体</w:t>
      </w:r>
      <w:bookmarkEnd w:id="161"/>
      <w:bookmarkEnd w:id="162"/>
    </w:p>
    <w:p>
      <w:pPr>
        <w:widowControl/>
        <w:tabs>
          <w:tab w:val="center" w:pos="4153"/>
        </w:tabs>
        <w:spacing w:line="560" w:lineRule="exact"/>
        <w:ind w:firstLine="640" w:firstLineChars="200"/>
        <w:jc w:val="left"/>
        <w:rPr>
          <w:rFonts w:hint="eastAsia" w:eastAsia="仿宋_GB2312"/>
          <w:color w:val="auto"/>
          <w:szCs w:val="32"/>
        </w:rPr>
      </w:pPr>
      <w:r>
        <w:rPr>
          <w:rFonts w:hint="eastAsia" w:eastAsia="仿宋_GB2312"/>
          <w:color w:val="auto"/>
          <w:szCs w:val="32"/>
        </w:rPr>
        <w:t>以企业和产业发展的人才、技术、资本需求为导向，建立多种形式的区域产业技术创新联盟。重点建设富硒产业、旅游康养、新型材料三大产业和装备制造、电子信息、现代物流、毛绒玩具等新支柱产业技术创新联盟。完善产学研协同创新机制，建立健全企业与高校、科研院所的产学研协同创新机制。采用市场化的手段完善产业技术创新联盟的利益分配机制。</w:t>
      </w:r>
    </w:p>
    <w:p>
      <w:pPr>
        <w:pStyle w:val="5"/>
        <w:spacing w:line="560" w:lineRule="exact"/>
        <w:ind w:firstLine="643"/>
        <w:rPr>
          <w:color w:val="auto"/>
        </w:rPr>
      </w:pPr>
      <w:bookmarkStart w:id="163" w:name="_Toc71835955"/>
      <w:bookmarkStart w:id="164" w:name="_Toc67060751"/>
      <w:r>
        <w:rPr>
          <w:rFonts w:hint="eastAsia"/>
          <w:color w:val="auto"/>
        </w:rPr>
        <w:t>三、项目实施催生创新联合体</w:t>
      </w:r>
      <w:bookmarkEnd w:id="163"/>
      <w:bookmarkEnd w:id="16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在国家省市重点研发计划等科技计划组织实施中，支持科技型中小微企业广泛参与由龙头骨干企业、高校、科研院所主持的科研项目，组建创新联合体。以培育壮大科技型中小微企业主体规模、提升科技型中小微企业创新能力为主要着力点，完善科技创新政策，加强创新服务供给，激发创新创业活力，引导科技型中小微企业加大研发投入，完善技术创新体系，增强以科技创新为核心的企业竞争力。</w:t>
      </w:r>
    </w:p>
    <w:p>
      <w:pPr>
        <w:pStyle w:val="4"/>
        <w:spacing w:line="560" w:lineRule="exact"/>
        <w:rPr>
          <w:color w:val="auto"/>
        </w:rPr>
      </w:pPr>
      <w:bookmarkStart w:id="165" w:name="_Toc31220"/>
      <w:bookmarkStart w:id="166" w:name="_Toc71835956"/>
      <w:bookmarkStart w:id="167" w:name="_Toc67060752"/>
      <w:r>
        <w:rPr>
          <w:rFonts w:hint="eastAsia"/>
          <w:color w:val="auto"/>
        </w:rPr>
        <w:t>第四节 拓展创新创业</w:t>
      </w:r>
      <w:r>
        <w:rPr>
          <w:color w:val="auto"/>
        </w:rPr>
        <w:t>发展</w:t>
      </w:r>
      <w:r>
        <w:rPr>
          <w:rFonts w:hint="eastAsia"/>
          <w:color w:val="auto"/>
        </w:rPr>
        <w:t>空间</w:t>
      </w:r>
      <w:bookmarkEnd w:id="156"/>
      <w:bookmarkEnd w:id="157"/>
      <w:bookmarkEnd w:id="158"/>
      <w:bookmarkEnd w:id="165"/>
      <w:bookmarkEnd w:id="166"/>
      <w:bookmarkEnd w:id="167"/>
    </w:p>
    <w:p>
      <w:pPr>
        <w:pStyle w:val="5"/>
        <w:spacing w:line="560" w:lineRule="exact"/>
        <w:ind w:firstLine="643"/>
        <w:rPr>
          <w:color w:val="auto"/>
        </w:rPr>
      </w:pPr>
      <w:bookmarkStart w:id="168" w:name="_Toc71835957"/>
      <w:bookmarkStart w:id="169" w:name="_Toc67060753"/>
      <w:r>
        <w:rPr>
          <w:rFonts w:hint="eastAsia"/>
          <w:color w:val="auto"/>
        </w:rPr>
        <w:t>一、拓宽创新创业空间</w:t>
      </w:r>
      <w:bookmarkEnd w:id="168"/>
      <w:bookmarkEnd w:id="169"/>
    </w:p>
    <w:p>
      <w:pPr>
        <w:snapToGrid w:val="0"/>
        <w:spacing w:line="560" w:lineRule="exact"/>
        <w:ind w:firstLine="640" w:firstLineChars="200"/>
        <w:rPr>
          <w:rFonts w:hint="eastAsia" w:eastAsia="仿宋_GB2312"/>
          <w:color w:val="auto"/>
          <w:szCs w:val="32"/>
        </w:rPr>
      </w:pPr>
      <w:r>
        <w:rPr>
          <w:rFonts w:hint="eastAsia" w:eastAsia="仿宋_GB2312"/>
          <w:color w:val="auto"/>
          <w:szCs w:val="32"/>
        </w:rPr>
        <w:t>降低创新创业资金门槛，鼓励和支持民间资本无障碍进入。放宽创新创业注册限制，改进审批登记办法，逐步实现由审批登记向备案登记转变。放宽投资方式限制，支持各类合法资本通过参股、联合、购并、独资等方式参与投资，允许专利发明、技术成果等知识产权货币估价、依法转让、参与投资。推动大中专毕业生自主创新创业，扶持创办咨询、信息、技术中介、文化创意和教育培训等服务业，实现自主创业就业。引导和鼓励返乡农民工兴办家庭农场、农民合作社、农业龙头企业和农村电商、农家乐、农村服务业等新型业态。按照“政府提供平台、平台集聚资源、资源服务创业”的思路，依托基层就业和社会保障、中小企业、农村社区等公共服务平台，集聚公共资源和社会其他资源，开展各类创业服务专项活动，推进创业服务向农村延伸。</w:t>
      </w:r>
    </w:p>
    <w:p>
      <w:pPr>
        <w:pStyle w:val="5"/>
        <w:spacing w:line="560" w:lineRule="exact"/>
        <w:ind w:firstLine="643"/>
        <w:rPr>
          <w:rFonts w:hint="eastAsia"/>
          <w:color w:val="auto"/>
        </w:rPr>
      </w:pPr>
      <w:bookmarkStart w:id="170" w:name="_Toc71835958"/>
      <w:bookmarkStart w:id="171" w:name="_Toc67060754"/>
      <w:r>
        <w:rPr>
          <w:rFonts w:hint="eastAsia"/>
          <w:color w:val="auto"/>
        </w:rPr>
        <w:t>二、用足用好</w:t>
      </w:r>
      <w:bookmarkEnd w:id="170"/>
      <w:bookmarkEnd w:id="171"/>
      <w:r>
        <w:rPr>
          <w:rFonts w:hint="eastAsia"/>
          <w:color w:val="auto"/>
        </w:rPr>
        <w:t>双创孵化载体</w:t>
      </w:r>
    </w:p>
    <w:p>
      <w:pPr>
        <w:snapToGrid w:val="0"/>
        <w:spacing w:line="560" w:lineRule="exact"/>
        <w:ind w:firstLine="640" w:firstLineChars="200"/>
        <w:rPr>
          <w:rFonts w:hint="eastAsia" w:eastAsia="仿宋_GB2312"/>
          <w:color w:val="auto"/>
          <w:szCs w:val="32"/>
        </w:rPr>
      </w:pPr>
      <w:r>
        <w:rPr>
          <w:rFonts w:hint="eastAsia" w:eastAsia="仿宋_GB2312"/>
          <w:color w:val="auto"/>
          <w:szCs w:val="32"/>
        </w:rPr>
        <w:t>积极为专业领域或特定人群提供研发场地、开发工具、小批量生产、交流分享和创业辅导等服务。引导企业围绕产业链建设专业化众创空间，构建开放式、协同式创新创业平台，为内部员工和外部创客创新创业提供支撑，实现产品和市场快速对接。整合创建一批小型创业孵化基地或创客中心，联合创客组织或专业机构共同运营，配置创新实践活动的工具和设备，提高创新意识和实践能力。改造提升老旧厂房、闲置房屋、商业设施等资源，为众创空间提供免费或低租金的场地。推进“苗圃</w:t>
      </w:r>
      <w:r>
        <w:rPr>
          <w:rFonts w:hint="eastAsia" w:eastAsia="仿宋_GB2312"/>
          <w:color w:val="auto"/>
          <w:szCs w:val="32"/>
          <w:lang w:eastAsia="zh-CN"/>
        </w:rPr>
        <w:t>—</w:t>
      </w:r>
      <w:r>
        <w:rPr>
          <w:rFonts w:hint="eastAsia" w:eastAsia="仿宋_GB2312"/>
          <w:color w:val="auto"/>
          <w:szCs w:val="32"/>
        </w:rPr>
        <w:t>孵化</w:t>
      </w:r>
      <w:r>
        <w:rPr>
          <w:rFonts w:hint="eastAsia" w:eastAsia="仿宋_GB2312"/>
          <w:color w:val="auto"/>
          <w:szCs w:val="32"/>
          <w:lang w:eastAsia="zh-CN"/>
        </w:rPr>
        <w:t>—</w:t>
      </w:r>
      <w:r>
        <w:rPr>
          <w:rFonts w:hint="eastAsia" w:eastAsia="仿宋_GB2312"/>
          <w:color w:val="auto"/>
          <w:szCs w:val="32"/>
        </w:rPr>
        <w:t>加速”创业孵化链条试点工作。利用大数据、云计算、移动互联网等现代技术手段，打通创业服务中间环节，实现“</w:t>
      </w:r>
      <w:r>
        <w:rPr>
          <w:rFonts w:hint="eastAsia" w:ascii="仿宋_GB2312" w:hAnsi="仿宋_GB2312" w:eastAsia="仿宋_GB2312" w:cs="仿宋_GB2312"/>
          <w:color w:val="auto"/>
          <w:szCs w:val="32"/>
        </w:rPr>
        <w:t>互联网+创业服务”</w:t>
      </w:r>
      <w:r>
        <w:rPr>
          <w:rFonts w:hint="eastAsia" w:eastAsia="仿宋_GB2312"/>
          <w:color w:val="auto"/>
          <w:szCs w:val="32"/>
        </w:rPr>
        <w:t>。通过开展宣传推介、公益讲堂、创业训练营等活动，建立创业实训体系。</w:t>
      </w:r>
    </w:p>
    <w:tbl>
      <w:tblPr>
        <w:tblStyle w:val="24"/>
        <w:tblpPr w:leftFromText="180" w:rightFromText="180" w:vertAnchor="text" w:horzAnchor="page" w:tblpX="1869" w:tblpY="226"/>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472" w:type="dxa"/>
            <w:shd w:val="clear" w:color="auto" w:fill="auto"/>
          </w:tcPr>
          <w:p>
            <w:pPr>
              <w:pStyle w:val="8"/>
              <w:spacing w:line="400" w:lineRule="exact"/>
              <w:jc w:val="center"/>
              <w:rPr>
                <w:rFonts w:cs="仿宋" w:asciiTheme="minorEastAsia" w:hAnsiTheme="minorEastAsia" w:eastAsiaTheme="minorEastAsia"/>
                <w:b/>
                <w:color w:val="auto"/>
                <w:sz w:val="24"/>
                <w:szCs w:val="24"/>
              </w:rPr>
            </w:pPr>
            <w:bookmarkStart w:id="172" w:name="_Toc65439643"/>
            <w:bookmarkStart w:id="173" w:name="_Toc75529318"/>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2</w:t>
            </w:r>
            <w:r>
              <w:rPr>
                <w:rFonts w:cs="仿宋" w:asciiTheme="minorEastAsia" w:hAnsiTheme="minorEastAsia" w:eastAsiaTheme="minorEastAsia"/>
                <w:b/>
                <w:color w:val="auto"/>
                <w:sz w:val="24"/>
                <w:szCs w:val="24"/>
              </w:rPr>
              <w:fldChar w:fldCharType="end"/>
            </w:r>
            <w:r>
              <w:rPr>
                <w:rFonts w:hint="eastAsia" w:cs="仿宋" w:asciiTheme="minorEastAsia" w:hAnsiTheme="minorEastAsia" w:eastAsiaTheme="minorEastAsia"/>
                <w:b/>
                <w:color w:val="auto"/>
                <w:sz w:val="24"/>
                <w:szCs w:val="24"/>
              </w:rPr>
              <w:t xml:space="preserve"> </w:t>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创新主体培育工程</w:t>
            </w:r>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shd w:val="clear" w:color="auto" w:fill="auto"/>
          </w:tcPr>
          <w:p>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1.科技型企业：强化企业创新主体地位，加强省级科技型企业培育入库，到十四五末，高新技术企业达到120家。</w:t>
            </w:r>
          </w:p>
          <w:p>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2.企业创新能力：鼓励企业开展自主研发，到十四五末，基本实现自主研发平台在科技型企业的全覆盖，规模以上工业企业研究与试验发展（R&amp;D）投入占主营业务收入比重达到0.6%。</w:t>
            </w:r>
          </w:p>
          <w:p>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3.企业创新联合体：支持企业建立省级工程中心或院士（专家）工作站，鼓励中小微企业加强与高校、科研院所联合组建技术创新联盟。</w:t>
            </w:r>
          </w:p>
          <w:p>
            <w:pPr>
              <w:spacing w:line="400" w:lineRule="exact"/>
              <w:ind w:firstLine="480" w:firstLineChars="200"/>
              <w:jc w:val="left"/>
              <w:rPr>
                <w:rFonts w:ascii="宋体" w:hAnsi="宋体"/>
                <w:color w:val="auto"/>
                <w:sz w:val="24"/>
                <w:szCs w:val="24"/>
              </w:rPr>
            </w:pPr>
            <w:r>
              <w:rPr>
                <w:rFonts w:hint="eastAsia" w:ascii="宋体" w:hAnsi="宋体" w:eastAsia="宋体" w:cs="宋体"/>
                <w:color w:val="auto"/>
                <w:sz w:val="24"/>
                <w:szCs w:val="24"/>
              </w:rPr>
              <w:t>4.创新创业平台：引导企业与高校、科研院所、新型研发机构等联合组建具有行业特色的专业孵化载体，建设一批低成本、便利化、全要素、开放式的创新创业空间。</w:t>
            </w:r>
          </w:p>
        </w:tc>
      </w:tr>
    </w:tbl>
    <w:p>
      <w:pPr>
        <w:spacing w:line="560" w:lineRule="exact"/>
        <w:rPr>
          <w:rFonts w:eastAsia="楷体_GB2312"/>
          <w:color w:val="auto"/>
          <w:sz w:val="24"/>
          <w:szCs w:val="24"/>
        </w:rPr>
      </w:pPr>
      <w:r>
        <w:rPr>
          <w:rFonts w:eastAsia="楷体_GB2312"/>
          <w:color w:val="auto"/>
          <w:sz w:val="24"/>
          <w:szCs w:val="24"/>
        </w:rPr>
        <w:br w:type="page"/>
      </w:r>
    </w:p>
    <w:p>
      <w:pPr>
        <w:pStyle w:val="3"/>
        <w:spacing w:after="312" w:line="560" w:lineRule="exact"/>
        <w:rPr>
          <w:color w:val="auto"/>
        </w:rPr>
      </w:pPr>
      <w:bookmarkStart w:id="174" w:name="_Toc71835959"/>
      <w:bookmarkStart w:id="175" w:name="_Toc67060755"/>
      <w:bookmarkStart w:id="176" w:name="_Toc7025"/>
      <w:r>
        <w:rPr>
          <w:rFonts w:hint="eastAsia"/>
          <w:color w:val="auto"/>
        </w:rPr>
        <w:t xml:space="preserve">第四章 </w:t>
      </w:r>
      <w:r>
        <w:rPr>
          <w:color w:val="auto"/>
        </w:rPr>
        <w:t>加快</w:t>
      </w:r>
      <w:r>
        <w:rPr>
          <w:rFonts w:hint="eastAsia"/>
          <w:color w:val="auto"/>
        </w:rPr>
        <w:t>重点产业创新，驱动经济高质量发展</w:t>
      </w:r>
      <w:bookmarkEnd w:id="174"/>
      <w:bookmarkEnd w:id="175"/>
      <w:bookmarkEnd w:id="176"/>
    </w:p>
    <w:p>
      <w:pPr>
        <w:pStyle w:val="4"/>
        <w:spacing w:line="560" w:lineRule="exact"/>
        <w:rPr>
          <w:color w:val="auto"/>
        </w:rPr>
      </w:pPr>
      <w:bookmarkStart w:id="177" w:name="_Toc16671"/>
      <w:bookmarkStart w:id="178" w:name="_Toc65437828"/>
      <w:bookmarkStart w:id="179" w:name="_Toc67060756"/>
      <w:bookmarkStart w:id="180" w:name="_Toc71835960"/>
      <w:r>
        <w:rPr>
          <w:rFonts w:hint="eastAsia"/>
          <w:color w:val="auto"/>
        </w:rPr>
        <w:t>第一节 支撑三大千亿级产业集群壮大发展</w:t>
      </w:r>
      <w:bookmarkEnd w:id="177"/>
      <w:bookmarkEnd w:id="178"/>
      <w:bookmarkEnd w:id="179"/>
      <w:bookmarkEnd w:id="180"/>
    </w:p>
    <w:p>
      <w:pPr>
        <w:pStyle w:val="5"/>
        <w:spacing w:line="560" w:lineRule="exact"/>
        <w:ind w:firstLine="643"/>
        <w:rPr>
          <w:color w:val="auto"/>
        </w:rPr>
      </w:pPr>
      <w:bookmarkStart w:id="181" w:name="_Toc65241400"/>
      <w:bookmarkEnd w:id="181"/>
      <w:bookmarkStart w:id="182" w:name="_Toc65437829"/>
      <w:bookmarkEnd w:id="182"/>
      <w:bookmarkStart w:id="183" w:name="_Toc23637"/>
      <w:bookmarkEnd w:id="183"/>
      <w:bookmarkStart w:id="184" w:name="_Toc65350340"/>
      <w:bookmarkStart w:id="185" w:name="_Toc71835961"/>
      <w:bookmarkStart w:id="186" w:name="_Toc67060757"/>
      <w:r>
        <w:rPr>
          <w:rFonts w:hint="eastAsia"/>
          <w:color w:val="auto"/>
        </w:rPr>
        <w:t>一、富硒产业</w:t>
      </w:r>
      <w:bookmarkEnd w:id="184"/>
      <w:bookmarkEnd w:id="185"/>
      <w:bookmarkEnd w:id="186"/>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科学构建富硒产业体系。</w:t>
      </w:r>
      <w:r>
        <w:rPr>
          <w:rFonts w:hint="eastAsia" w:eastAsia="仿宋_GB2312"/>
          <w:color w:val="auto"/>
          <w:szCs w:val="32"/>
        </w:rPr>
        <w:t>根据市委市政府</w:t>
      </w:r>
      <w:r>
        <w:rPr>
          <w:rFonts w:hint="eastAsia" w:ascii="仿宋_GB2312" w:hAnsi="仿宋_GB2312" w:eastAsia="仿宋_GB2312" w:cs="仿宋_GB2312"/>
          <w:color w:val="auto"/>
          <w:szCs w:val="32"/>
        </w:rPr>
        <w:t>提出的“硒+X”战略，围绕富硒茶、魔芋、生猪、核桃、蔬菜、生态鱼</w:t>
      </w:r>
      <w:r>
        <w:rPr>
          <w:rFonts w:hint="eastAsia" w:eastAsia="仿宋_GB2312"/>
          <w:color w:val="auto"/>
          <w:szCs w:val="32"/>
        </w:rPr>
        <w:t>、包装饮用水等重点领域，大力开展科技创新，着力构建富硒产业体系，推动富硒产业集群化发展。</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重视应用基础研究。</w:t>
      </w:r>
      <w:r>
        <w:rPr>
          <w:rFonts w:hint="eastAsia" w:eastAsia="仿宋_GB2312"/>
          <w:color w:val="auto"/>
          <w:szCs w:val="32"/>
        </w:rPr>
        <w:t>充分发挥中国（安康）富硒产业研究院、安康农业科学研究院、农业部富硒产品开发与质量控制重点实验室及相关院士（专家）工作站等研发机构和科创平台作用，加强与中国农科院、中国农业大学、西北农林科技大学、安康学院等高校和科研院所的合作交流，在硒资源勘查与创新利用、富硒食品成分分析和新产品开发、补硒稳硒控硒技术研究、富硒产业标准体系、富硒产业数字化智慧平台建设等方面进行协作创新。</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破解关键技术难题。</w:t>
      </w:r>
      <w:r>
        <w:rPr>
          <w:rFonts w:hint="eastAsia" w:eastAsia="仿宋_GB2312"/>
          <w:color w:val="auto"/>
          <w:szCs w:val="32"/>
        </w:rPr>
        <w:t>针对富硒产业发展中存在的土壤硒含量分布不均、农产品硒含量不稳、农产品加工中硒流失、产品硒含量快速检测技术缺乏、硒与重金属的伴生性等一系列共性、关键性技术难题，通过技术合作、项目竞标、委托研发等形式，攻克技术难关。</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加大富硒产品开发力度。</w:t>
      </w:r>
      <w:r>
        <w:rPr>
          <w:rFonts w:hint="eastAsia" w:eastAsia="仿宋_GB2312"/>
          <w:color w:val="auto"/>
          <w:szCs w:val="32"/>
        </w:rPr>
        <w:t>以富硒水、富硒茶叶、富硒魔芋、富硒猪肉为主打，不断向富硒中药材、富硒蔬菜、富硒鱼等领域拓展，着力开展特色保健食品开发，形成一批科技含量高、特色鲜明、市场前景好的富硒产品。</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加快新技术成果转化应用。</w:t>
      </w:r>
      <w:r>
        <w:rPr>
          <w:rFonts w:hint="eastAsia" w:eastAsia="仿宋_GB2312"/>
          <w:color w:val="auto"/>
          <w:szCs w:val="32"/>
        </w:rPr>
        <w:t>加大微胶囊技术、高效浓缩发酵技术、超临界流体萃取技术、在线无菌热包装技术等高新技术在富硒产品开发和加工工艺中的引进应用力度，促进富硒产业结构和技术实现质的飞跃。支持陕西省富硒产品创新中心建设，加大科技成果转化力度，加快对高聚硒植物（野油菜、紫阳茜草等）、富硒作物秸秆、富硒酵母等在硒蛋白提取、硒营养补充剂研制、富硒饲料和肥料开发、硒超微粉利用等成熟技术的试验示范应用，探寻安全便捷的补硒途径。</w:t>
      </w:r>
    </w:p>
    <w:tbl>
      <w:tblPr>
        <w:tblStyle w:val="24"/>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50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cs="仿宋" w:asciiTheme="minorEastAsia" w:hAnsiTheme="minorEastAsia" w:eastAsiaTheme="minorEastAsia"/>
                <w:b/>
                <w:color w:val="auto"/>
                <w:sz w:val="24"/>
                <w:szCs w:val="24"/>
              </w:rPr>
            </w:pPr>
            <w:bookmarkStart w:id="187" w:name="_Toc75529319"/>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3</w:t>
            </w:r>
            <w:r>
              <w:rPr>
                <w:rFonts w:cs="仿宋" w:asciiTheme="minorEastAsia" w:hAnsiTheme="minorEastAsia" w:eastAsiaTheme="minorEastAsia"/>
                <w:b/>
                <w:color w:val="auto"/>
                <w:sz w:val="24"/>
                <w:szCs w:val="24"/>
              </w:rPr>
              <w:fldChar w:fldCharType="end"/>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富硒产业重大科技攻关行动</w:t>
            </w:r>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8504"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宋体" w:hAnsi="宋体" w:eastAsia="宋体" w:cs="宋体"/>
                <w:color w:val="auto"/>
                <w:kern w:val="0"/>
                <w:sz w:val="24"/>
                <w:szCs w:val="24"/>
                <w:shd w:val="clear" w:color="auto" w:fill="FFFFFF"/>
              </w:rPr>
            </w:pPr>
            <w:bookmarkStart w:id="188" w:name="_Toc38264196"/>
            <w:bookmarkStart w:id="189" w:name="_Hlk50879848"/>
            <w:r>
              <w:rPr>
                <w:rFonts w:hint="eastAsia" w:ascii="宋体" w:hAnsi="宋体" w:eastAsia="宋体" w:cs="宋体"/>
                <w:color w:val="auto"/>
                <w:kern w:val="0"/>
                <w:sz w:val="24"/>
                <w:szCs w:val="24"/>
                <w:shd w:val="clear" w:color="auto" w:fill="FFFFFF"/>
              </w:rPr>
              <w:t>1.应用基础研究：在做好硒的分布、形态、含量、迁移等方面研究的基础上，深入开展硒与人体健康，硒的营养诊断，富硒功能食品品质调控、营养组分、营养代谢、抗慢性疾病机理和功效评价，基于改善肠道微生态的营养靶向设计，新型富硒功能食品精准制造技术等方面研究。建立“硒资源大数据库”。</w:t>
            </w:r>
          </w:p>
          <w:p>
            <w:pPr>
              <w:snapToGrid w:val="0"/>
              <w:spacing w:line="400" w:lineRule="exact"/>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应用研究：开展高聚硒能力作物选育、硒的快速检测技术、富硒饲料与富硒肥料开发、硒多糖与硒蛋白提取、高聚硒能力植物开发利用、农产品生产与加工中的补硒稳硒控硒技术、富硒功能食品开发等方面研究。</w:t>
            </w:r>
          </w:p>
          <w:bookmarkEnd w:id="188"/>
          <w:bookmarkEnd w:id="189"/>
          <w:p>
            <w:pPr>
              <w:snapToGrid w:val="0"/>
              <w:spacing w:line="400" w:lineRule="exact"/>
              <w:ind w:firstLine="480" w:firstLineChars="200"/>
              <w:rPr>
                <w:rFonts w:ascii="宋体" w:hAnsi="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3.富硒食品标准化建设：完善、细化富硒农产品和富硒食品的地方标准、团体标准，研制“富硒”“含硒”系列化标准，促进安康富硒食品企业产品标识统一化、规范化。</w:t>
            </w:r>
          </w:p>
        </w:tc>
      </w:tr>
    </w:tbl>
    <w:p>
      <w:pPr>
        <w:pStyle w:val="5"/>
        <w:spacing w:line="560" w:lineRule="exact"/>
        <w:ind w:firstLine="643"/>
        <w:rPr>
          <w:color w:val="auto"/>
        </w:rPr>
      </w:pPr>
      <w:bookmarkStart w:id="190" w:name="_Toc21335"/>
      <w:bookmarkEnd w:id="190"/>
      <w:bookmarkStart w:id="191" w:name="_Toc65350341"/>
      <w:bookmarkEnd w:id="191"/>
      <w:bookmarkStart w:id="192" w:name="_Toc65241401"/>
      <w:bookmarkEnd w:id="192"/>
      <w:bookmarkStart w:id="193" w:name="_Toc67060758"/>
      <w:bookmarkStart w:id="194" w:name="_Toc71835962"/>
      <w:bookmarkStart w:id="195" w:name="_Toc65437830"/>
      <w:r>
        <w:rPr>
          <w:rFonts w:hint="eastAsia"/>
          <w:color w:val="auto"/>
        </w:rPr>
        <w:t>二、旅游康养产业</w:t>
      </w:r>
      <w:bookmarkEnd w:id="193"/>
      <w:bookmarkEnd w:id="194"/>
      <w:bookmarkEnd w:id="195"/>
    </w:p>
    <w:p>
      <w:pPr>
        <w:snapToGrid w:val="0"/>
        <w:spacing w:line="560" w:lineRule="exact"/>
        <w:ind w:firstLine="640" w:firstLineChars="200"/>
        <w:rPr>
          <w:rFonts w:hint="eastAsia" w:eastAsia="仿宋_GB2312"/>
          <w:color w:val="auto"/>
          <w:szCs w:val="32"/>
        </w:rPr>
      </w:pPr>
      <w:bookmarkStart w:id="196" w:name="_Toc38264206"/>
      <w:bookmarkEnd w:id="196"/>
      <w:r>
        <w:rPr>
          <w:rFonts w:hint="eastAsia" w:eastAsia="仿宋_GB2312"/>
          <w:color w:val="auto"/>
          <w:szCs w:val="32"/>
        </w:rPr>
        <w:t>科技支撑旅游康养产业发展壮大，着力构建旅游康养产业新业态、新模式，打造“秦巴药谷”生物医药健康产业高地。</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开展康养产业应用技术研究。</w:t>
      </w:r>
      <w:r>
        <w:rPr>
          <w:rFonts w:hint="eastAsia" w:eastAsia="仿宋_GB2312"/>
          <w:color w:val="auto"/>
          <w:szCs w:val="32"/>
        </w:rPr>
        <w:t>建立和完善人体心理、生理等方面的综合评估监测指标体系和预警方法，建立和完善促进老龄健康的干预节点和适宜技术措施，建立和完善养生养老服务技术标准体系和解决方案。</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支持中医药综合改革和中医药创新。</w:t>
      </w:r>
      <w:r>
        <w:rPr>
          <w:rFonts w:hint="eastAsia" w:eastAsia="仿宋_GB2312"/>
          <w:color w:val="auto"/>
          <w:szCs w:val="32"/>
        </w:rPr>
        <w:t>挖掘传统特色诊疗技法，助力中医药创新发展。支持生物医药企业自动化、信息化、智能化建设，推动生物医药产业向产业链中高端转型升级。</w:t>
      </w:r>
    </w:p>
    <w:p>
      <w:pPr>
        <w:snapToGrid w:val="0"/>
        <w:spacing w:line="560" w:lineRule="exact"/>
        <w:ind w:firstLine="643" w:firstLineChars="200"/>
        <w:rPr>
          <w:rFonts w:ascii="仿宋" w:hAnsi="仿宋" w:cs="仿宋_GB2312"/>
          <w:color w:val="auto"/>
          <w:szCs w:val="32"/>
        </w:rPr>
      </w:pPr>
      <w:r>
        <w:rPr>
          <w:rFonts w:hint="eastAsia" w:ascii="仿宋_GB2312" w:hAnsi="仿宋_GB2312" w:eastAsia="仿宋_GB2312" w:cs="仿宋_GB2312"/>
          <w:b/>
          <w:bCs/>
          <w:color w:val="auto"/>
          <w:szCs w:val="32"/>
        </w:rPr>
        <w:t>加强中药新药开发。</w:t>
      </w:r>
      <w:r>
        <w:rPr>
          <w:rFonts w:hint="eastAsia" w:eastAsia="仿宋_GB2312"/>
          <w:color w:val="auto"/>
          <w:szCs w:val="32"/>
        </w:rPr>
        <w:t>支持中药新产品、新剂型、大健康产品研发以及安康传统名中药二次开发，提升中药饮片、黄姜皂素、植物提取、配方颗粒和各种剂型成药研发能力；</w:t>
      </w:r>
      <w:bookmarkStart w:id="197" w:name="_Toc38264207"/>
      <w:bookmarkEnd w:id="197"/>
      <w:r>
        <w:rPr>
          <w:rFonts w:hint="eastAsia" w:eastAsia="仿宋_GB2312"/>
          <w:color w:val="auto"/>
          <w:szCs w:val="32"/>
        </w:rPr>
        <w:t>围绕大健康产业开展产品研发，积极开发药茶药酒、保健食品、功能性饮品等“食养”“医养”“药养”产品。</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加大康养旅游系列产品开发。</w:t>
      </w:r>
      <w:r>
        <w:rPr>
          <w:rFonts w:hint="eastAsia" w:eastAsia="仿宋_GB2312"/>
          <w:color w:val="auto"/>
          <w:szCs w:val="32"/>
        </w:rPr>
        <w:t>开发特色医疗、养生养老、文化养生、运动健体、生态休闲和健康美食等系列旅游产品，形成具有安康特色的康养旅游产品体系,推动康养产业与文化、旅游、体育等产业融合发展。</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突出康养产业关键技术研究。</w:t>
      </w:r>
      <w:r>
        <w:rPr>
          <w:rFonts w:hint="eastAsia" w:eastAsia="仿宋_GB2312"/>
          <w:color w:val="auto"/>
          <w:szCs w:val="32"/>
        </w:rPr>
        <w:t>针对健康状态辨识、健康风险预警、健康自主干预等环节，重点攻克穿戴式监测、健康物联网、健康危险因素干预等关键技术，构建健康大数据云平台，加快健康关键技术和</w:t>
      </w:r>
      <w:r>
        <w:rPr>
          <w:rFonts w:hint="eastAsia" w:ascii="仿宋_GB2312" w:hAnsi="仿宋_GB2312" w:eastAsia="仿宋_GB2312" w:cs="仿宋_GB2312"/>
          <w:color w:val="auto"/>
          <w:szCs w:val="32"/>
        </w:rPr>
        <w:t>健康闭环管理服务研究；支持开展中医按摩、中药汤浴等养生保健服务，发展“互联网+中药+中医+中医药健康服务”平台</w:t>
      </w:r>
      <w:r>
        <w:rPr>
          <w:rFonts w:hint="eastAsia" w:eastAsia="仿宋_GB2312"/>
          <w:color w:val="auto"/>
          <w:szCs w:val="32"/>
        </w:rPr>
        <w:t>经济，促进中药产业与健康服务业融合发展。</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推进产业运营模式和机制创新。</w:t>
      </w:r>
      <w:r>
        <w:rPr>
          <w:rFonts w:hint="eastAsia" w:eastAsia="仿宋_GB2312"/>
          <w:color w:val="auto"/>
          <w:szCs w:val="32"/>
        </w:rPr>
        <w:t>以“全域康养、全民健康”为目标，加快推进康养进社区、进乡村活动，大力发展运动康养、旅游康养、居家康养、智慧康养、医养结合，积极探索生态康养、休闲康养、文化康</w:t>
      </w:r>
      <w:r>
        <w:rPr>
          <w:rFonts w:hint="eastAsia" w:ascii="仿宋_GB2312" w:hAnsi="仿宋_GB2312" w:eastAsia="仿宋_GB2312" w:cs="仿宋_GB2312"/>
          <w:color w:val="auto"/>
          <w:szCs w:val="32"/>
        </w:rPr>
        <w:t>养、康养小镇等新模式，大力推进数字化、可视化、交互式、5G技术在康养业中的技术集成与示范应用，形成全域化布局、全龄化</w:t>
      </w:r>
      <w:r>
        <w:rPr>
          <w:rFonts w:hint="eastAsia" w:eastAsia="仿宋_GB2312"/>
          <w:color w:val="auto"/>
          <w:szCs w:val="32"/>
        </w:rPr>
        <w:t>服务、全时段开发的康养发展新格局。</w:t>
      </w:r>
      <w:bookmarkStart w:id="198" w:name="_Toc65437831"/>
      <w:bookmarkStart w:id="199" w:name="_Toc67060759"/>
    </w:p>
    <w:tbl>
      <w:tblPr>
        <w:tblStyle w:val="24"/>
        <w:tblW w:w="8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272"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ascii="宋体" w:hAnsi="宋体" w:cs="宋体"/>
                <w:b/>
                <w:color w:val="auto"/>
                <w:kern w:val="0"/>
                <w:sz w:val="24"/>
                <w:szCs w:val="24"/>
                <w:shd w:val="clear" w:color="auto" w:fill="FFFFFF"/>
              </w:rPr>
            </w:pPr>
            <w:bookmarkStart w:id="200" w:name="_Toc75529320"/>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4</w:t>
            </w:r>
            <w:r>
              <w:rPr>
                <w:rFonts w:cs="仿宋" w:asciiTheme="minorEastAsia" w:hAnsiTheme="minorEastAsia" w:eastAsiaTheme="minorEastAsia"/>
                <w:b/>
                <w:color w:val="auto"/>
                <w:sz w:val="24"/>
                <w:szCs w:val="24"/>
              </w:rPr>
              <w:fldChar w:fldCharType="end"/>
            </w:r>
            <w:r>
              <w:rPr>
                <w:rFonts w:hint="eastAsia" w:cs="仿宋" w:asciiTheme="minorEastAsia" w:hAnsiTheme="minorEastAsia" w:eastAsiaTheme="minorEastAsia"/>
                <w:b/>
                <w:color w:val="auto"/>
                <w:sz w:val="24"/>
                <w:szCs w:val="24"/>
              </w:rPr>
              <w:t xml:space="preserve"> </w:t>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科技</w:t>
            </w:r>
            <w:r>
              <w:rPr>
                <w:rFonts w:cs="仿宋" w:asciiTheme="minorEastAsia" w:hAnsiTheme="minorEastAsia" w:eastAsiaTheme="minorEastAsia"/>
                <w:b/>
                <w:color w:val="auto"/>
                <w:sz w:val="24"/>
                <w:szCs w:val="24"/>
              </w:rPr>
              <w:t>支撑</w:t>
            </w:r>
            <w:r>
              <w:rPr>
                <w:rFonts w:hint="eastAsia" w:cs="仿宋" w:asciiTheme="minorEastAsia" w:hAnsiTheme="minorEastAsia" w:eastAsiaTheme="minorEastAsia"/>
                <w:b/>
                <w:color w:val="auto"/>
                <w:sz w:val="24"/>
                <w:szCs w:val="24"/>
              </w:rPr>
              <w:t>生物医药健康产业发展行动</w:t>
            </w:r>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8272"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1.医药保健产品研发。支持企业研发生产绞股蓝、白芨多糖、杜仲粉、绿原酸、天麻粉等富硒医药保健品。</w:t>
            </w:r>
          </w:p>
          <w:p>
            <w:pPr>
              <w:snapToGrid w:val="0"/>
              <w:spacing w:line="400" w:lineRule="exact"/>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2.清洁生产技术应用。支持企业加强黄姜皂素清洁生产工艺及综合利用生产技术研究，重点发展天然激素原料及含激素类生物制药产品。</w:t>
            </w:r>
          </w:p>
          <w:p>
            <w:pPr>
              <w:snapToGrid w:val="0"/>
              <w:spacing w:line="400" w:lineRule="exact"/>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3.生物医药产业园建设。支持汉滨生物医药产业园、汉阴陕澳中医药产业园、镇坪“飞地园区”中药配方颗粒加工产业园、旬阳高新区中药饮片加工和中药材物流集散地建设。</w:t>
            </w:r>
          </w:p>
          <w:p>
            <w:pPr>
              <w:snapToGrid w:val="0"/>
              <w:spacing w:line="400" w:lineRule="exact"/>
              <w:ind w:firstLine="480" w:firstLineChars="200"/>
              <w:rPr>
                <w:rFonts w:ascii="宋体" w:hAnsi="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4.中医药康养基地建设。为汉滨、汉阴、石泉、岚皋、平利、镇坪等县区道地中药材康养理疗综合体建设提供技术和智力支持。</w:t>
            </w:r>
          </w:p>
        </w:tc>
      </w:tr>
    </w:tbl>
    <w:p>
      <w:pPr>
        <w:pStyle w:val="5"/>
        <w:spacing w:line="560" w:lineRule="exact"/>
        <w:ind w:firstLine="643"/>
        <w:rPr>
          <w:color w:val="auto"/>
        </w:rPr>
      </w:pPr>
      <w:bookmarkStart w:id="201" w:name="_Toc71835963"/>
      <w:r>
        <w:rPr>
          <w:rFonts w:hint="eastAsia"/>
          <w:color w:val="auto"/>
        </w:rPr>
        <w:t>三、新型材料产业</w:t>
      </w:r>
      <w:bookmarkEnd w:id="198"/>
      <w:bookmarkEnd w:id="199"/>
      <w:bookmarkEnd w:id="201"/>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坚持自主创新和引进消化相结合，重点在新材料资源开发、提纯加工、应用转化等方面加大科技创新力度。围绕以钒、锌合金为代表的有色金属材料及其合金材料，以新型液流储能介质、钒锂电池电极材料为代表的新能源储能材料，以重晶石、陶瓷等为代表的无机非金属材料，以纳米微粒子功能材料、聚酯功能分离材料、高分子复合材料为代表的前沿新型材料，以新型墙体、装配式建材、石棉板岩为代表的新型建筑材料等领域，大力开展关键核心技术攻关，引进推广一批重大专项技术，集中实施一批产业关键共性技术，不断优化工艺流程，推动生产设备升级和产品品质提升，推进新型材料产业向绿色化、精细化、高端化迈进，着力打造新型材料产业基地。</w:t>
      </w:r>
    </w:p>
    <w:tbl>
      <w:tblPr>
        <w:tblStyle w:val="24"/>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50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rPr>
                <w:rFonts w:cs="仿宋" w:asciiTheme="minorEastAsia" w:hAnsiTheme="minorEastAsia" w:eastAsiaTheme="minorEastAsia"/>
                <w:b/>
                <w:color w:val="auto"/>
                <w:sz w:val="24"/>
                <w:szCs w:val="24"/>
              </w:rPr>
            </w:pPr>
            <w:bookmarkStart w:id="202" w:name="_Toc75529321"/>
            <w:r>
              <w:rPr>
                <w:rFonts w:hint="eastAsia"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hint="eastAsia" w:cs="仿宋" w:asciiTheme="minorEastAsia" w:hAnsiTheme="minorEastAsia" w:eastAsiaTheme="minorEastAsia"/>
                <w:b/>
                <w:color w:val="auto"/>
                <w:sz w:val="24"/>
                <w:szCs w:val="24"/>
              </w:rPr>
              <w:instrText xml:space="preserve">SEQ 专栏 \* ARABIC</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5</w:t>
            </w:r>
            <w:r>
              <w:rPr>
                <w:rFonts w:cs="仿宋" w:asciiTheme="minorEastAsia" w:hAnsiTheme="minorEastAsia" w:eastAsiaTheme="minorEastAsia"/>
                <w:b/>
                <w:color w:val="auto"/>
                <w:sz w:val="24"/>
                <w:szCs w:val="24"/>
              </w:rPr>
              <w:fldChar w:fldCharType="end"/>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新型材料产业重大科技攻关行动</w:t>
            </w:r>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504"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储能材料。开展高温高浓度全钒液流电池电解液技术、高功率密度全钒液流电池电堆制造技术、电池组模块系统集成及制造技术、MW以上级液流电池储能系统并网运行和智能控制技术、百兆瓦级全钒液流电池连续化生产关键技术、新型低成本锌基液流电池技术、锂电和液流电池等电极材料制备关键技术等方面的研发。</w:t>
            </w:r>
          </w:p>
          <w:p>
            <w:pPr>
              <w:snapToGrid w:val="0"/>
              <w:spacing w:line="400" w:lineRule="exact"/>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纳米材料。开展高端纳米纤维复合材料研发及生产关键技术、新型聚集诱导增强发光(AIE)功能材料、MAXene二维材料制备及电化学性能、电弧法金属纳米粉体制取、电爆炸法金属纳米粉体制取、等离子体法纳米粉体制取、纳米光电器件及集成系统、纳米生物医用材料、纳米环境材料、纳米安全与检测技术等方面的研发。</w:t>
            </w:r>
          </w:p>
          <w:p>
            <w:pPr>
              <w:snapToGrid w:val="0"/>
              <w:spacing w:line="400" w:lineRule="exact"/>
              <w:ind w:firstLine="480" w:firstLineChars="200"/>
              <w:rPr>
                <w:rFonts w:ascii="宋体" w:hAnsi="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功能材料。以植物功能材料、高性能膜材料、功能建筑材料等战略新材料为重点，开展电极材料和高性能陶粒骨料制备关键技术、轻质高强陶粒在装配式建筑结构中的应用、功能分离材料和吸附材料生产技术、环保建材、轻质多孔陶粒在水处理及园林栽培中应用技术、超大高纯氧化铝基复合型匣钵/坩埚关键制备技术、YZ－改性环氧砂浆材料生产、超大高纯氧化铝基复合型匣钵/坩埚关键制备技术、碳素电极糊新产品技术、B20生物调合燃料等方面的研发。</w:t>
            </w:r>
          </w:p>
        </w:tc>
      </w:tr>
    </w:tbl>
    <w:p>
      <w:pPr>
        <w:pStyle w:val="4"/>
        <w:spacing w:line="560" w:lineRule="exact"/>
        <w:rPr>
          <w:color w:val="auto"/>
        </w:rPr>
      </w:pPr>
      <w:bookmarkStart w:id="203" w:name="_Toc25203"/>
      <w:bookmarkEnd w:id="203"/>
      <w:bookmarkStart w:id="204" w:name="_Toc38264215"/>
      <w:bookmarkEnd w:id="204"/>
      <w:bookmarkStart w:id="205" w:name="_Toc6803"/>
      <w:bookmarkStart w:id="206" w:name="_Toc71835964"/>
      <w:bookmarkStart w:id="207" w:name="_Toc65437832"/>
      <w:bookmarkStart w:id="208" w:name="_Toc67060760"/>
      <w:r>
        <w:rPr>
          <w:rFonts w:hint="eastAsia"/>
          <w:color w:val="auto"/>
        </w:rPr>
        <w:t>第二节 推进四大新支柱产业追赶超越</w:t>
      </w:r>
      <w:bookmarkEnd w:id="205"/>
      <w:bookmarkEnd w:id="206"/>
      <w:bookmarkEnd w:id="207"/>
      <w:bookmarkEnd w:id="208"/>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加快现代工业科技应用，</w:t>
      </w:r>
      <w:bookmarkStart w:id="209" w:name="_Toc38264209"/>
      <w:r>
        <w:rPr>
          <w:rFonts w:hint="eastAsia" w:eastAsia="仿宋_GB2312"/>
          <w:color w:val="auto"/>
          <w:szCs w:val="32"/>
        </w:rPr>
        <w:t>加速新旧动能转换，不断</w:t>
      </w:r>
      <w:bookmarkEnd w:id="209"/>
      <w:r>
        <w:rPr>
          <w:rFonts w:hint="eastAsia" w:eastAsia="仿宋_GB2312"/>
          <w:color w:val="auto"/>
          <w:szCs w:val="32"/>
        </w:rPr>
        <w:t>推进装备制造、电子信息、现代物流、毛玩文创四大新兴支柱产业高端化、智能化、绿色化发展，鼓励经营主体向“四新”企业转型，不断提升自主研发能力和技改能力。</w:t>
      </w:r>
    </w:p>
    <w:p>
      <w:pPr>
        <w:pStyle w:val="5"/>
        <w:spacing w:line="560" w:lineRule="exact"/>
        <w:ind w:firstLine="643"/>
        <w:rPr>
          <w:color w:val="auto"/>
        </w:rPr>
      </w:pPr>
      <w:bookmarkStart w:id="210" w:name="_Toc65437833"/>
      <w:bookmarkEnd w:id="210"/>
      <w:bookmarkStart w:id="211" w:name="_Toc65350344"/>
      <w:bookmarkEnd w:id="211"/>
      <w:bookmarkStart w:id="212" w:name="_Toc28626"/>
      <w:bookmarkEnd w:id="212"/>
      <w:bookmarkStart w:id="213" w:name="_Toc65241404"/>
      <w:bookmarkStart w:id="214" w:name="_Toc67060761"/>
      <w:bookmarkStart w:id="215" w:name="_Toc71835965"/>
      <w:r>
        <w:rPr>
          <w:rFonts w:hint="eastAsia"/>
          <w:color w:val="auto"/>
        </w:rPr>
        <w:t>一、装备制造</w:t>
      </w:r>
      <w:bookmarkEnd w:id="213"/>
      <w:bookmarkEnd w:id="214"/>
      <w:bookmarkEnd w:id="215"/>
    </w:p>
    <w:p>
      <w:pPr>
        <w:snapToGrid w:val="0"/>
        <w:spacing w:line="560" w:lineRule="exact"/>
        <w:ind w:firstLine="640" w:firstLineChars="200"/>
        <w:rPr>
          <w:rFonts w:hint="eastAsia" w:eastAsia="仿宋_GB2312"/>
          <w:color w:val="auto"/>
          <w:szCs w:val="32"/>
        </w:rPr>
      </w:pPr>
      <w:bookmarkStart w:id="216" w:name="_Toc38264214"/>
      <w:bookmarkEnd w:id="216"/>
      <w:bookmarkStart w:id="217" w:name="_Toc38264245"/>
      <w:bookmarkEnd w:id="217"/>
      <w:bookmarkStart w:id="218" w:name="_Toc452547951"/>
      <w:r>
        <w:rPr>
          <w:rFonts w:hint="eastAsia" w:eastAsia="仿宋_GB2312"/>
          <w:color w:val="auto"/>
          <w:szCs w:val="32"/>
        </w:rPr>
        <w:t>按照“智能化、绿色化、服务化”的发展方向，围绕以汽车零部件和新能源汽车为主的整车及零部件制造，以电梯、自动扶梯等为主的特种设备制造，以工业机器人、精密仪器设备等为主的高端装备，以水电装备、农机装备为主的传统装备制造业，部署创新链，支持企业开展技术改造、零部件提档升级。</w:t>
      </w:r>
      <w:bookmarkEnd w:id="218"/>
    </w:p>
    <w:p>
      <w:pPr>
        <w:pStyle w:val="5"/>
        <w:spacing w:line="560" w:lineRule="exact"/>
        <w:ind w:firstLine="643"/>
        <w:rPr>
          <w:rFonts w:hint="eastAsia"/>
          <w:color w:val="auto"/>
        </w:rPr>
      </w:pPr>
      <w:bookmarkStart w:id="219" w:name="_Toc65350345"/>
      <w:bookmarkEnd w:id="219"/>
      <w:bookmarkStart w:id="220" w:name="_Toc65241405"/>
      <w:bookmarkEnd w:id="220"/>
      <w:bookmarkStart w:id="221" w:name="_Toc65437834"/>
      <w:bookmarkEnd w:id="221"/>
      <w:bookmarkStart w:id="222" w:name="_Toc67060762"/>
      <w:bookmarkStart w:id="223" w:name="_Toc8063"/>
      <w:bookmarkStart w:id="224" w:name="_Toc71835966"/>
      <w:r>
        <w:rPr>
          <w:rFonts w:hint="eastAsia"/>
          <w:color w:val="auto"/>
        </w:rPr>
        <w:t>二、电子信息</w:t>
      </w:r>
      <w:bookmarkEnd w:id="222"/>
      <w:bookmarkEnd w:id="223"/>
      <w:bookmarkEnd w:id="22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按照“高端化、绿色化、智能化、融合化”发展方向，围绕电子线束产业、电子元器件、家电及通讯设备、智能终端产品等领域部署创新链，重点支持在培育人工智能、工业互联网、云</w:t>
      </w:r>
      <w:r>
        <w:rPr>
          <w:rFonts w:hint="eastAsia" w:ascii="仿宋_GB2312" w:hAnsi="仿宋_GB2312" w:eastAsia="仿宋_GB2312" w:cs="仿宋_GB2312"/>
          <w:color w:val="auto"/>
          <w:szCs w:val="32"/>
        </w:rPr>
        <w:t>计算、5G推广应用等方面协同创新。</w:t>
      </w:r>
      <w:bookmarkStart w:id="225" w:name="_Toc65350346"/>
      <w:bookmarkEnd w:id="225"/>
      <w:bookmarkStart w:id="226" w:name="_Toc65241406"/>
      <w:bookmarkEnd w:id="226"/>
      <w:bookmarkStart w:id="227" w:name="_Toc23947"/>
      <w:bookmarkEnd w:id="227"/>
      <w:bookmarkStart w:id="228" w:name="_Toc65437835"/>
      <w:bookmarkStart w:id="229" w:name="_Toc67060763"/>
      <w:bookmarkStart w:id="230" w:name="_Toc71835967"/>
      <w:r>
        <w:rPr>
          <w:rFonts w:hint="eastAsia" w:ascii="仿宋_GB2312" w:hAnsi="仿宋_GB2312" w:eastAsia="仿宋_GB2312" w:cs="仿宋_GB2312"/>
          <w:color w:val="auto"/>
          <w:szCs w:val="32"/>
        </w:rPr>
        <w:t>促进工业物联网应用，引导企业通过传感器</w:t>
      </w:r>
      <w:r>
        <w:rPr>
          <w:rFonts w:hint="eastAsia" w:eastAsia="仿宋_GB2312"/>
          <w:color w:val="auto"/>
          <w:szCs w:val="32"/>
        </w:rPr>
        <w:t>、通信设施等技术和产品的集成应用，形成智能监测、远程诊断管理、全产业链追溯等新型能力，实现生产管理各环节的互联互通。</w:t>
      </w:r>
    </w:p>
    <w:p>
      <w:pPr>
        <w:pStyle w:val="5"/>
        <w:spacing w:line="560" w:lineRule="exact"/>
        <w:ind w:firstLine="643"/>
        <w:rPr>
          <w:rFonts w:hint="eastAsia"/>
          <w:color w:val="auto"/>
        </w:rPr>
      </w:pPr>
      <w:r>
        <w:rPr>
          <w:rFonts w:hint="eastAsia"/>
          <w:color w:val="auto"/>
        </w:rPr>
        <w:t>三、现代物流</w:t>
      </w:r>
      <w:bookmarkEnd w:id="228"/>
      <w:bookmarkEnd w:id="229"/>
      <w:bookmarkEnd w:id="230"/>
    </w:p>
    <w:p>
      <w:pPr>
        <w:snapToGrid w:val="0"/>
        <w:spacing w:line="560" w:lineRule="exact"/>
        <w:ind w:firstLine="640" w:firstLineChars="200"/>
        <w:rPr>
          <w:rFonts w:hint="eastAsia" w:eastAsia="仿宋_GB2312"/>
          <w:color w:val="auto"/>
          <w:szCs w:val="32"/>
        </w:rPr>
      </w:pPr>
      <w:bookmarkStart w:id="231" w:name="_Toc38264230"/>
      <w:bookmarkEnd w:id="231"/>
      <w:r>
        <w:rPr>
          <w:rFonts w:hint="eastAsia" w:eastAsia="仿宋_GB2312"/>
          <w:color w:val="auto"/>
          <w:szCs w:val="32"/>
        </w:rPr>
        <w:t>围绕秦巴（安康）现代物流港建设，以电子商务、智慧物流为重点，以科技创新为着力点，加大嵌入式终端、智能控制系统等现代信息技术的普及应用，推动物流园区和物流服务体系向数字化、智慧化发展。</w:t>
      </w:r>
    </w:p>
    <w:p>
      <w:pPr>
        <w:pStyle w:val="5"/>
        <w:spacing w:line="560" w:lineRule="exact"/>
        <w:ind w:firstLine="643"/>
        <w:rPr>
          <w:rFonts w:hint="eastAsia"/>
          <w:color w:val="auto"/>
        </w:rPr>
      </w:pPr>
      <w:bookmarkStart w:id="232" w:name="_Toc65350347"/>
      <w:bookmarkEnd w:id="232"/>
      <w:bookmarkStart w:id="233" w:name="_Toc65241407"/>
      <w:bookmarkEnd w:id="233"/>
      <w:bookmarkStart w:id="234" w:name="_Toc65437836"/>
      <w:bookmarkEnd w:id="234"/>
      <w:bookmarkStart w:id="235" w:name="_Toc71835968"/>
      <w:bookmarkStart w:id="236" w:name="_Toc32484"/>
      <w:bookmarkStart w:id="237" w:name="_Toc67060764"/>
      <w:r>
        <w:rPr>
          <w:rFonts w:hint="eastAsia"/>
          <w:color w:val="auto"/>
        </w:rPr>
        <w:t>四、毛玩</w:t>
      </w:r>
      <w:bookmarkEnd w:id="235"/>
      <w:bookmarkEnd w:id="236"/>
      <w:bookmarkEnd w:id="237"/>
      <w:r>
        <w:rPr>
          <w:rFonts w:hint="eastAsia"/>
          <w:color w:val="auto"/>
        </w:rPr>
        <w:t>文创</w:t>
      </w:r>
    </w:p>
    <w:p>
      <w:pPr>
        <w:snapToGrid w:val="0"/>
        <w:spacing w:line="560" w:lineRule="exact"/>
        <w:ind w:firstLine="640" w:firstLineChars="200"/>
        <w:rPr>
          <w:rFonts w:ascii="仿宋" w:hAnsi="仿宋" w:cs="仿宋_GB2312"/>
          <w:color w:val="auto"/>
          <w:szCs w:val="32"/>
        </w:rPr>
      </w:pPr>
      <w:bookmarkStart w:id="238" w:name="_Toc38264246"/>
      <w:bookmarkEnd w:id="238"/>
      <w:r>
        <w:rPr>
          <w:rFonts w:hint="eastAsia" w:eastAsia="仿宋_GB2312"/>
          <w:color w:val="auto"/>
          <w:szCs w:val="32"/>
        </w:rPr>
        <w:t>围绕毛绒玩具和其他文创产业，支持企业梳理、打造品牌文化，建设创意设计融合平台，实现工业与文创产业的融合发展、多元发展，促进传统工业提档升级。</w:t>
      </w:r>
    </w:p>
    <w:p>
      <w:pPr>
        <w:pStyle w:val="2"/>
        <w:rPr>
          <w:color w:val="auto"/>
        </w:rPr>
      </w:pPr>
    </w:p>
    <w:tbl>
      <w:tblPr>
        <w:tblStyle w:val="24"/>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04" w:type="dxa"/>
            <w:shd w:val="clear" w:color="auto" w:fill="auto"/>
            <w:vAlign w:val="center"/>
          </w:tcPr>
          <w:p>
            <w:pPr>
              <w:pStyle w:val="8"/>
              <w:spacing w:line="400" w:lineRule="exact"/>
              <w:jc w:val="center"/>
              <w:rPr>
                <w:rFonts w:ascii="宋体" w:hAnsi="宋体"/>
                <w:b/>
                <w:bCs/>
                <w:color w:val="auto"/>
                <w:sz w:val="24"/>
                <w:szCs w:val="24"/>
              </w:rPr>
            </w:pPr>
            <w:bookmarkStart w:id="239" w:name="_Toc65439638"/>
            <w:bookmarkStart w:id="240" w:name="_Toc75529322"/>
            <w:r>
              <w:rPr>
                <w:rFonts w:hint="eastAsia"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hint="eastAsia" w:cs="仿宋" w:asciiTheme="minorEastAsia" w:hAnsiTheme="minorEastAsia" w:eastAsiaTheme="minorEastAsia"/>
                <w:b/>
                <w:color w:val="auto"/>
                <w:sz w:val="24"/>
                <w:szCs w:val="24"/>
              </w:rPr>
              <w:instrText xml:space="preserve">SEQ 专栏 \* ARABIC</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6</w:t>
            </w:r>
            <w:r>
              <w:rPr>
                <w:rFonts w:cs="仿宋" w:asciiTheme="minorEastAsia" w:hAnsiTheme="minorEastAsia" w:eastAsiaTheme="minorEastAsia"/>
                <w:b/>
                <w:color w:val="auto"/>
                <w:sz w:val="24"/>
                <w:szCs w:val="24"/>
              </w:rPr>
              <w:fldChar w:fldCharType="end"/>
            </w:r>
            <w:r>
              <w:rPr>
                <w:rFonts w:hint="eastAsia" w:cs="仿宋" w:asciiTheme="minorEastAsia" w:hAnsiTheme="minorEastAsia" w:eastAsiaTheme="minorEastAsia"/>
                <w:b/>
                <w:color w:val="auto"/>
                <w:sz w:val="24"/>
                <w:szCs w:val="24"/>
              </w:rPr>
              <w:t xml:space="preserve"> </w:t>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重点产业创新工程</w:t>
            </w:r>
            <w:bookmarkEnd w:id="239"/>
            <w:bookmarkEnd w:id="2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504" w:type="dxa"/>
            <w:shd w:val="clear" w:color="auto" w:fill="auto"/>
          </w:tcPr>
          <w:p>
            <w:pPr>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装备制造：开展工业机器人、智能生产线、智能传感与控制、智能检测技术等先进技术的集成创新；采用新材料、数控技术、智能化技术改造生产工艺；开展绿色制造技术和装备的应用推广；开展环保技术装备、环保产品研发。</w:t>
            </w:r>
          </w:p>
          <w:p>
            <w:pPr>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电子信息：开展铜线、连接器、橡胶件、管材等电子线束产业新技术、新工艺的引进和关键技术研发；开展极低功耗器件和电路、系统集成工艺、新型光通信器件、半导体照明、高效光伏电池等关键技术研发；开展智能穿戴产品、VR眼镜、骨传导耳机和无线充电器、手机电池等配套产品研发；推进5G生态系统、应用模式及技术方案的构建；开展人工智能、云计算、大数据、物联网、区块链、机器人、虚拟现实与增强现实等应用技术引进。</w:t>
            </w:r>
          </w:p>
          <w:p>
            <w:pPr>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现代物流：围绕秦巴（安康）现代物流港建设，在电子商务、智慧物流的创新融合方面开展技术、模式创新；加快电子商务服务技术研发与应用示范；推广5G、3S、智能交通、物联网、机器到机器（M2M）、无线射频识别（RFID）等现代信息和通信技术在物流领域中集成应用。</w:t>
            </w:r>
          </w:p>
          <w:p>
            <w:pPr>
              <w:spacing w:line="400" w:lineRule="exact"/>
              <w:ind w:firstLine="480" w:firstLineChars="200"/>
              <w:rPr>
                <w:rFonts w:ascii="宋体" w:hAnsi="宋体" w:cs="仿宋_GB2312"/>
                <w:b/>
                <w:bCs/>
                <w:color w:val="auto"/>
                <w:sz w:val="24"/>
                <w:szCs w:val="24"/>
              </w:rPr>
            </w:pPr>
            <w:r>
              <w:rPr>
                <w:rFonts w:hint="eastAsia" w:ascii="宋体" w:hAnsi="宋体" w:eastAsia="宋体" w:cs="宋体"/>
                <w:color w:val="auto"/>
                <w:sz w:val="24"/>
                <w:szCs w:val="24"/>
              </w:rPr>
              <w:t>4.毛玩文创：开展功能性材料生产技术、数字喷射印花技术、四原色印花技术和激光处理技术、功能性整理技术、整体成型技术等方面的研发。</w:t>
            </w:r>
          </w:p>
        </w:tc>
      </w:tr>
    </w:tbl>
    <w:p>
      <w:pPr>
        <w:snapToGrid w:val="0"/>
        <w:spacing w:line="560" w:lineRule="exact"/>
        <w:ind w:firstLine="560" w:firstLineChars="200"/>
        <w:rPr>
          <w:rFonts w:ascii="仿宋" w:hAnsi="仿宋" w:cs="仿宋_GB2312"/>
          <w:color w:val="auto"/>
          <w:sz w:val="28"/>
          <w:szCs w:val="28"/>
        </w:rPr>
      </w:pPr>
      <w:bookmarkStart w:id="241" w:name="_Toc65437837"/>
      <w:bookmarkEnd w:id="241"/>
      <w:bookmarkStart w:id="242" w:name="_Toc65239465"/>
      <w:bookmarkEnd w:id="242"/>
      <w:bookmarkStart w:id="243" w:name="_Toc65241408"/>
      <w:bookmarkEnd w:id="243"/>
      <w:bookmarkStart w:id="244" w:name="_Toc65350348"/>
      <w:bookmarkEnd w:id="244"/>
      <w:r>
        <w:rPr>
          <w:rFonts w:hint="eastAsia" w:ascii="仿宋" w:hAnsi="仿宋" w:cs="仿宋_GB2312"/>
          <w:color w:val="auto"/>
          <w:sz w:val="28"/>
          <w:szCs w:val="28"/>
        </w:rPr>
        <w:br w:type="page"/>
      </w:r>
    </w:p>
    <w:p>
      <w:pPr>
        <w:pStyle w:val="3"/>
        <w:spacing w:after="312" w:line="560" w:lineRule="exact"/>
        <w:rPr>
          <w:color w:val="auto"/>
        </w:rPr>
      </w:pPr>
      <w:bookmarkStart w:id="245" w:name="_Toc65437838"/>
      <w:bookmarkStart w:id="246" w:name="_Toc67060766"/>
      <w:bookmarkStart w:id="247" w:name="_Toc13290"/>
      <w:bookmarkStart w:id="248" w:name="_Toc71835970"/>
      <w:r>
        <w:rPr>
          <w:rFonts w:hint="eastAsia"/>
          <w:color w:val="auto"/>
        </w:rPr>
        <w:t>第五章</w:t>
      </w:r>
      <w:bookmarkEnd w:id="245"/>
      <w:r>
        <w:rPr>
          <w:rFonts w:hint="eastAsia"/>
          <w:color w:val="auto"/>
          <w:lang w:val="en-US" w:eastAsia="zh-CN"/>
        </w:rPr>
        <w:t xml:space="preserve"> </w:t>
      </w:r>
      <w:r>
        <w:rPr>
          <w:rFonts w:hint="eastAsia"/>
          <w:color w:val="auto"/>
        </w:rPr>
        <w:t>科技助力乡村振兴，推动县域创新发展</w:t>
      </w:r>
      <w:bookmarkEnd w:id="246"/>
      <w:bookmarkEnd w:id="247"/>
      <w:bookmarkEnd w:id="248"/>
    </w:p>
    <w:p>
      <w:pPr>
        <w:snapToGrid w:val="0"/>
        <w:spacing w:line="560" w:lineRule="exact"/>
        <w:ind w:firstLine="640" w:firstLineChars="200"/>
        <w:rPr>
          <w:rFonts w:hint="eastAsia" w:eastAsia="仿宋_GB2312"/>
          <w:color w:val="auto"/>
          <w:szCs w:val="32"/>
        </w:rPr>
      </w:pPr>
      <w:r>
        <w:rPr>
          <w:rFonts w:hint="eastAsia" w:eastAsia="仿宋_GB2312"/>
          <w:color w:val="auto"/>
          <w:szCs w:val="32"/>
        </w:rPr>
        <w:t>以实施创新驱动发展战略和乡村振兴战略为引领，强化农业农村实用技术的研究与推广，巩固拓展脱贫攻坚成果同乡村振兴有效衔接，促进农业高质高效、乡村宜居宜业、农民富裕富足。</w:t>
      </w:r>
    </w:p>
    <w:p>
      <w:pPr>
        <w:pStyle w:val="4"/>
        <w:spacing w:line="560" w:lineRule="exact"/>
        <w:rPr>
          <w:color w:val="auto"/>
        </w:rPr>
      </w:pPr>
      <w:bookmarkStart w:id="249" w:name="_Toc65241410"/>
      <w:bookmarkEnd w:id="249"/>
      <w:bookmarkStart w:id="250" w:name="_Toc31074"/>
      <w:bookmarkEnd w:id="250"/>
      <w:bookmarkStart w:id="251" w:name="_Toc65239467"/>
      <w:bookmarkEnd w:id="251"/>
      <w:bookmarkStart w:id="252" w:name="_Toc65350350"/>
      <w:bookmarkEnd w:id="252"/>
      <w:bookmarkStart w:id="253" w:name="_Toc65437839"/>
      <w:bookmarkStart w:id="254" w:name="_Toc10050"/>
      <w:bookmarkStart w:id="255" w:name="_Toc67060767"/>
      <w:bookmarkStart w:id="256" w:name="_Toc71835971"/>
      <w:r>
        <w:rPr>
          <w:rFonts w:hint="eastAsia"/>
          <w:color w:val="auto"/>
        </w:rPr>
        <w:t>第一节</w:t>
      </w:r>
      <w:bookmarkEnd w:id="253"/>
      <w:r>
        <w:rPr>
          <w:rFonts w:hint="eastAsia"/>
          <w:color w:val="auto"/>
          <w:lang w:val="en-US" w:eastAsia="zh-CN"/>
        </w:rPr>
        <w:t xml:space="preserve"> </w:t>
      </w:r>
      <w:r>
        <w:rPr>
          <w:color w:val="auto"/>
        </w:rPr>
        <w:t>科技</w:t>
      </w:r>
      <w:r>
        <w:rPr>
          <w:rFonts w:hint="eastAsia"/>
          <w:color w:val="auto"/>
        </w:rPr>
        <w:t>赋能农业</w:t>
      </w:r>
      <w:r>
        <w:rPr>
          <w:color w:val="auto"/>
        </w:rPr>
        <w:t>提质增效</w:t>
      </w:r>
      <w:bookmarkEnd w:id="254"/>
      <w:bookmarkEnd w:id="255"/>
      <w:bookmarkEnd w:id="256"/>
    </w:p>
    <w:p>
      <w:pPr>
        <w:pStyle w:val="5"/>
        <w:spacing w:line="560" w:lineRule="exact"/>
        <w:ind w:firstLine="643"/>
        <w:rPr>
          <w:color w:val="auto"/>
        </w:rPr>
      </w:pPr>
      <w:bookmarkStart w:id="257" w:name="_Toc65350351"/>
      <w:bookmarkEnd w:id="257"/>
      <w:bookmarkStart w:id="258" w:name="_Toc65241411"/>
      <w:bookmarkEnd w:id="258"/>
      <w:bookmarkStart w:id="259" w:name="_Toc65437840"/>
      <w:bookmarkEnd w:id="259"/>
      <w:bookmarkStart w:id="260" w:name="_Toc21015"/>
      <w:bookmarkStart w:id="261" w:name="_Toc71835972"/>
      <w:bookmarkStart w:id="262" w:name="_Toc67060768"/>
      <w:r>
        <w:rPr>
          <w:rFonts w:hint="eastAsia"/>
          <w:color w:val="auto"/>
        </w:rPr>
        <w:t>一</w:t>
      </w:r>
      <w:bookmarkEnd w:id="260"/>
      <w:r>
        <w:rPr>
          <w:rFonts w:hint="eastAsia"/>
          <w:color w:val="auto"/>
        </w:rPr>
        <w:t>、加强农业关键技术攻关</w:t>
      </w:r>
      <w:bookmarkEnd w:id="261"/>
      <w:bookmarkEnd w:id="262"/>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开展产业重大共性问题联合攻关。</w:t>
      </w:r>
      <w:r>
        <w:rPr>
          <w:rFonts w:hint="eastAsia" w:eastAsia="仿宋_GB2312"/>
          <w:color w:val="auto"/>
          <w:szCs w:val="32"/>
        </w:rPr>
        <w:t>重点围绕优质特色种质资源保护和利用、优良新品种选育推广和丰产栽培、畜禽水产健康养殖与疫病防控、农产品精深加工与现代储运、农产品包装及冷链物流、农林生物质综合开发利用、农林生态安全、新型环保型肥料、绿色农药研制和生态农业、化肥农药替代技术、农业装备提升与农业机械化、智慧农业与数字</w:t>
      </w:r>
      <w:r>
        <w:rPr>
          <w:rFonts w:hint="eastAsia" w:ascii="仿宋_GB2312" w:hAnsi="仿宋_GB2312" w:eastAsia="仿宋_GB2312" w:cs="仿宋_GB2312"/>
          <w:color w:val="auto"/>
          <w:szCs w:val="32"/>
        </w:rPr>
        <w:t>农业、智能化农业设施与装备技术等方面开展科研攻关，解决好产业发展中关键性“卡脖子”问题，实施关键技术攻关40项以</w:t>
      </w:r>
      <w:r>
        <w:rPr>
          <w:rFonts w:hint="eastAsia" w:eastAsia="仿宋_GB2312"/>
          <w:color w:val="auto"/>
          <w:szCs w:val="32"/>
        </w:rPr>
        <w:t>上。</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加强涉农实用技术研发与应用。</w:t>
      </w:r>
      <w:r>
        <w:rPr>
          <w:rFonts w:hint="eastAsia" w:eastAsia="仿宋_GB2312"/>
          <w:color w:val="auto"/>
          <w:szCs w:val="32"/>
        </w:rPr>
        <w:t xml:space="preserve">加快生态、环保、安全、优质、循环的农业农村新技术研发，引导农村推行畜禽粪污资源化利用、秸秆综合利用、农膜回收、有机肥替代化肥等乡村绿色发展方式和生活方式，实现由增产型的技术、人才、政策体系向增效型的技术研发体系转变。在新品种选育、标准化养殖、农业面源污染防治、农业废弃物资源化利用等领域，加大研发投入，取得一批突破性科研成果。 </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加强优良品种自主选育。</w:t>
      </w:r>
      <w:r>
        <w:rPr>
          <w:rFonts w:hint="eastAsia" w:eastAsia="仿宋_GB2312"/>
          <w:color w:val="auto"/>
          <w:szCs w:val="32"/>
        </w:rPr>
        <w:t>依托西北农林科技大学、安康学院、安康市农科院、安康市农业技术推广中心、镇坪县农科所等高校和科研院所，围绕水稻、玉米、油菜、马铃薯、茶叶、魔芋、核桃、木瓜、板栗、安康黑猪、安康白山羊、安康钱鱼等特色动植物，以高产、优质、多抗的品种选育为目标，加快品种更新换代，提高良种普及率，自主选育秦巴特色新品种</w:t>
      </w:r>
      <w:r>
        <w:rPr>
          <w:rFonts w:hint="eastAsia" w:ascii="仿宋_GB2312" w:hAnsi="仿宋_GB2312" w:eastAsia="仿宋_GB2312" w:cs="仿宋_GB2312"/>
          <w:color w:val="auto"/>
          <w:szCs w:val="32"/>
        </w:rPr>
        <w:t>15个</w:t>
      </w:r>
      <w:r>
        <w:rPr>
          <w:rFonts w:hint="eastAsia" w:eastAsia="仿宋_GB2312"/>
          <w:color w:val="auto"/>
          <w:szCs w:val="32"/>
        </w:rPr>
        <w:t>以上。</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增加农产品精深加工技术供给。</w:t>
      </w:r>
      <w:r>
        <w:rPr>
          <w:rFonts w:hint="eastAsia" w:eastAsia="仿宋_GB2312"/>
          <w:color w:val="auto"/>
          <w:szCs w:val="32"/>
        </w:rPr>
        <w:t>重点围绕生猪、茶叶、魔芋、核桃、生态渔业五大农业特色产业及粮油、果蔬、蚕桑等重点领域，支持企业开展农产品资源转化技术研发，开发农业新产品</w:t>
      </w:r>
      <w:r>
        <w:rPr>
          <w:rFonts w:hint="eastAsia" w:ascii="仿宋_GB2312" w:hAnsi="仿宋_GB2312" w:eastAsia="仿宋_GB2312" w:cs="仿宋_GB2312"/>
          <w:color w:val="auto"/>
          <w:szCs w:val="32"/>
        </w:rPr>
        <w:t>40个以上，引导加</w:t>
      </w:r>
      <w:r>
        <w:rPr>
          <w:rFonts w:hint="eastAsia" w:eastAsia="仿宋_GB2312"/>
          <w:color w:val="auto"/>
          <w:szCs w:val="32"/>
        </w:rPr>
        <w:t xml:space="preserve">工企业向优势产区聚集、向农业科技园区布局，共享技术研发资源，延长转化链条，贯通三产融合的大通道。 </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推进秦巴生物资源保护与综合开发利用。</w:t>
      </w:r>
      <w:r>
        <w:rPr>
          <w:rFonts w:hint="eastAsia" w:eastAsia="仿宋_GB2312"/>
          <w:color w:val="auto"/>
          <w:szCs w:val="32"/>
        </w:rPr>
        <w:t>立足秦巴山区资源禀赋，结合比较优势和市场需求，建立秦巴山区动植物种质资源库，因地制宜发展中药材、小杂粮、设施蔬菜、食用菌、拐枣、木瓜、蚕桑、猕猴桃、黄花菜、香椿、特色瓜果等特色产业，围绕产品开发、精深加工、综合利用等开展研发攻关，打造一批特色鲜明、优势突出、效益显著、市场竞争力强的特色农产品。</w:t>
      </w:r>
    </w:p>
    <w:p>
      <w:pPr>
        <w:pStyle w:val="5"/>
        <w:spacing w:line="560" w:lineRule="exact"/>
        <w:ind w:firstLine="643"/>
        <w:rPr>
          <w:color w:val="auto"/>
        </w:rPr>
      </w:pPr>
      <w:bookmarkStart w:id="263" w:name="_Toc2008"/>
      <w:bookmarkEnd w:id="263"/>
      <w:bookmarkStart w:id="264" w:name="_Toc11977"/>
      <w:bookmarkEnd w:id="264"/>
      <w:bookmarkStart w:id="265" w:name="_Toc65437841"/>
      <w:bookmarkEnd w:id="265"/>
      <w:bookmarkStart w:id="266" w:name="_Toc65241412"/>
      <w:bookmarkEnd w:id="266"/>
      <w:bookmarkStart w:id="267" w:name="_Toc64873978"/>
      <w:bookmarkEnd w:id="267"/>
      <w:bookmarkStart w:id="268" w:name="_Toc65350352"/>
      <w:bookmarkStart w:id="269" w:name="_Toc67060769"/>
      <w:bookmarkStart w:id="270" w:name="_Toc71835973"/>
      <w:r>
        <w:rPr>
          <w:rFonts w:hint="eastAsia"/>
          <w:color w:val="auto"/>
        </w:rPr>
        <w:t>二、</w:t>
      </w:r>
      <w:bookmarkEnd w:id="268"/>
      <w:r>
        <w:rPr>
          <w:rFonts w:hint="eastAsia"/>
          <w:color w:val="auto"/>
        </w:rPr>
        <w:t>大力推广农业高新技术</w:t>
      </w:r>
      <w:bookmarkEnd w:id="269"/>
      <w:bookmarkEnd w:id="270"/>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围绕特色种植业、养殖业、农产品精深加工、农业旅游和生态康养等领域，加快农业新技术新成果的引进和集成应用。重点在现代农业生产技术与管理、农业生物技术应用、资源节约和综合利用、农业污染防治、农产品质量安全评价、快速检测、全程质量控制等领域，引进推广国内外先进技术和成果，运用现代生物技术、植物工厂、生物智造、智慧农业等装备农业，构建绿色生态产业技术体系，推动农业产业提质增效。</w:t>
      </w:r>
      <w:bookmarkStart w:id="271" w:name="_Toc65437842"/>
      <w:bookmarkEnd w:id="271"/>
      <w:bookmarkStart w:id="272" w:name="_Toc65241413"/>
      <w:bookmarkEnd w:id="272"/>
      <w:bookmarkStart w:id="273" w:name="_Toc65350353"/>
      <w:bookmarkEnd w:id="273"/>
      <w:bookmarkStart w:id="274" w:name="_Toc19314"/>
      <w:bookmarkStart w:id="275" w:name="_Toc67060770"/>
      <w:bookmarkStart w:id="276" w:name="_Toc71835974"/>
    </w:p>
    <w:p>
      <w:pPr>
        <w:pStyle w:val="5"/>
        <w:spacing w:line="560" w:lineRule="exact"/>
        <w:ind w:firstLine="643"/>
        <w:rPr>
          <w:color w:val="auto"/>
        </w:rPr>
      </w:pPr>
      <w:r>
        <w:rPr>
          <w:rFonts w:hint="eastAsia"/>
          <w:color w:val="auto"/>
        </w:rPr>
        <w:t>三</w:t>
      </w:r>
      <w:bookmarkEnd w:id="274"/>
      <w:r>
        <w:rPr>
          <w:rFonts w:hint="eastAsia"/>
          <w:color w:val="auto"/>
        </w:rPr>
        <w:t>、加快农业科技创新</w:t>
      </w:r>
      <w:bookmarkEnd w:id="275"/>
      <w:r>
        <w:rPr>
          <w:rFonts w:hint="eastAsia"/>
          <w:color w:val="auto"/>
        </w:rPr>
        <w:t>步伐</w:t>
      </w:r>
      <w:bookmarkEnd w:id="276"/>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支持重点产业重点领域科技创新。</w:t>
      </w:r>
      <w:r>
        <w:rPr>
          <w:rFonts w:hint="eastAsia" w:eastAsia="仿宋_GB2312"/>
          <w:color w:val="auto"/>
          <w:szCs w:val="32"/>
        </w:rPr>
        <w:t>加快以生猪为主的畜牧产业转型升级，重点在良种选育、畜禽养殖废弃物资源化利用、富硒饲料研发、健康养殖、疫病防治等方面开展技术研发。做好茶树种苗繁育体系建设，加快</w:t>
      </w:r>
      <w:r>
        <w:rPr>
          <w:rFonts w:hint="eastAsia" w:ascii="仿宋_GB2312" w:hAnsi="仿宋_GB2312" w:eastAsia="仿宋_GB2312" w:cs="仿宋_GB2312"/>
          <w:color w:val="auto"/>
          <w:szCs w:val="32"/>
        </w:rPr>
        <w:t>“陕茶1号”和紫阳群体种等本地优良茶树品种扩繁推广，加大茶叶标准化</w:t>
      </w:r>
      <w:r>
        <w:rPr>
          <w:rFonts w:hint="eastAsia" w:eastAsia="仿宋_GB2312"/>
          <w:color w:val="auto"/>
          <w:szCs w:val="32"/>
        </w:rPr>
        <w:t>示范园建设力度，提升茶产业标准化水平，加大新技术、新工艺、新产品研发，提升茶产品质量，打造安康富硒茶全国知名品牌。进一步延伸魔芋产业链，重点开展品种选育、栽培管理、病害防控、新产品开发、品牌营销等方面关键技术攻关。开展核桃优良品种选育、病虫害防控、新产品等方面研发，积极支持核桃基地规模化栽植、标准化建园、规范化管理、集约化经营，不断扩大基地规模，延伸产业链条，提升综合效益。加大生态渔业健康养殖模式示范推广，大力发展特色冷水鱼和大水面生态渔业，积极推广稻田综合种养模式，提升“安康汉水鱼”品牌效应。建立</w:t>
      </w:r>
      <w:r>
        <w:rPr>
          <w:rFonts w:hint="eastAsia" w:ascii="仿宋_GB2312" w:hAnsi="仿宋_GB2312" w:eastAsia="仿宋_GB2312" w:cs="仿宋_GB2312"/>
          <w:color w:val="auto"/>
          <w:szCs w:val="32"/>
        </w:rPr>
        <w:t>科技示范基地30个</w:t>
      </w:r>
      <w:r>
        <w:rPr>
          <w:rFonts w:hint="eastAsia" w:eastAsia="仿宋_GB2312"/>
          <w:color w:val="auto"/>
          <w:szCs w:val="32"/>
        </w:rPr>
        <w:t>以上。</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持续增加农业科研投入。</w:t>
      </w:r>
      <w:r>
        <w:rPr>
          <w:rFonts w:hint="eastAsia" w:eastAsia="仿宋_GB2312"/>
          <w:color w:val="auto"/>
          <w:szCs w:val="32"/>
        </w:rPr>
        <w:t>加大对主导产业科技开发支持力度，安排专项资金用于农业科技攻关、技术引进、技术集成创新、成果转化等。引导涉农企业开展技术创新活动，强化与高校、科研单位的产学研合作，不断增强企业科技创新能力。</w:t>
      </w:r>
    </w:p>
    <w:p>
      <w:pPr>
        <w:pStyle w:val="5"/>
        <w:spacing w:line="560" w:lineRule="exact"/>
        <w:ind w:firstLine="643"/>
        <w:rPr>
          <w:color w:val="auto"/>
        </w:rPr>
      </w:pPr>
      <w:bookmarkStart w:id="277" w:name="_Toc65437843"/>
      <w:bookmarkEnd w:id="277"/>
      <w:bookmarkStart w:id="278" w:name="_Toc26538"/>
      <w:bookmarkEnd w:id="278"/>
      <w:bookmarkStart w:id="279" w:name="_Toc65241414"/>
      <w:bookmarkEnd w:id="279"/>
      <w:bookmarkStart w:id="280" w:name="_Toc65350354"/>
      <w:bookmarkStart w:id="281" w:name="_Toc71835975"/>
      <w:bookmarkStart w:id="282" w:name="_Toc67060771"/>
      <w:r>
        <w:rPr>
          <w:rFonts w:hint="eastAsia"/>
          <w:color w:val="auto"/>
        </w:rPr>
        <w:t>四、加快</w:t>
      </w:r>
      <w:bookmarkEnd w:id="280"/>
      <w:r>
        <w:rPr>
          <w:rFonts w:hint="eastAsia"/>
          <w:color w:val="auto"/>
        </w:rPr>
        <w:t>农业科技成果转化</w:t>
      </w:r>
      <w:bookmarkEnd w:id="281"/>
      <w:bookmarkEnd w:id="282"/>
    </w:p>
    <w:p>
      <w:pPr>
        <w:snapToGrid w:val="0"/>
        <w:spacing w:line="560" w:lineRule="exact"/>
        <w:ind w:firstLine="640" w:firstLineChars="200"/>
        <w:rPr>
          <w:rFonts w:ascii="仿宋" w:hAnsi="仿宋" w:cs="仿宋_GB2312"/>
          <w:color w:val="auto"/>
          <w:szCs w:val="32"/>
        </w:rPr>
      </w:pPr>
      <w:r>
        <w:rPr>
          <w:rFonts w:hint="eastAsia" w:eastAsia="仿宋_GB2312"/>
          <w:color w:val="auto"/>
          <w:szCs w:val="32"/>
        </w:rPr>
        <w:t>加大培育新型农业经营和服务主体，健全农业科技社会化服务体系，完善农业农村领域技术转移机构服务功能。集成应用农业大数据分析等先进技术，打</w:t>
      </w:r>
      <w:r>
        <w:rPr>
          <w:rFonts w:hint="eastAsia" w:ascii="仿宋_GB2312" w:hAnsi="仿宋_GB2312" w:eastAsia="仿宋_GB2312" w:cs="仿宋_GB2312"/>
          <w:color w:val="auto"/>
          <w:szCs w:val="32"/>
        </w:rPr>
        <w:t>造“互联网+农业科技”的综合信息服务平台，依托互联网推动科技成果转化与推广。加快推进校地合作示范基地建设，强化政产学研用协同创新成果转化机制。引导社会力量组建技术中介</w:t>
      </w:r>
      <w:r>
        <w:rPr>
          <w:rFonts w:hint="eastAsia" w:eastAsia="仿宋_GB2312"/>
          <w:color w:val="auto"/>
          <w:szCs w:val="32"/>
        </w:rPr>
        <w:t>和技术服务机构，通过技术咨询服务推动先进技术成果的转化应用。</w:t>
      </w:r>
    </w:p>
    <w:p>
      <w:pPr>
        <w:pStyle w:val="5"/>
        <w:spacing w:line="560" w:lineRule="exact"/>
        <w:ind w:firstLine="643"/>
        <w:rPr>
          <w:color w:val="auto"/>
        </w:rPr>
      </w:pPr>
      <w:bookmarkStart w:id="283" w:name="_Toc65350355"/>
      <w:bookmarkEnd w:id="283"/>
      <w:bookmarkStart w:id="284" w:name="_Toc64873982"/>
      <w:bookmarkEnd w:id="284"/>
      <w:bookmarkStart w:id="285" w:name="_Toc65241416"/>
      <w:bookmarkEnd w:id="285"/>
      <w:bookmarkStart w:id="286" w:name="_Toc23840"/>
      <w:bookmarkEnd w:id="286"/>
      <w:bookmarkStart w:id="287" w:name="_Toc31825"/>
      <w:bookmarkEnd w:id="287"/>
      <w:bookmarkStart w:id="288" w:name="_Toc65437844"/>
      <w:bookmarkEnd w:id="288"/>
      <w:bookmarkStart w:id="289" w:name="_Toc65437845"/>
      <w:bookmarkEnd w:id="289"/>
      <w:bookmarkStart w:id="290" w:name="_Toc65350356"/>
      <w:bookmarkStart w:id="291" w:name="_Toc71835976"/>
      <w:bookmarkStart w:id="292" w:name="_Toc67060772"/>
      <w:r>
        <w:rPr>
          <w:rFonts w:hint="eastAsia"/>
          <w:color w:val="auto"/>
        </w:rPr>
        <w:t>五、加快农业科技进村入户</w:t>
      </w:r>
      <w:bookmarkEnd w:id="290"/>
      <w:bookmarkEnd w:id="291"/>
      <w:bookmarkEnd w:id="292"/>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积极探索农业科技成果进村入户的有效机制。</w:t>
      </w:r>
      <w:r>
        <w:rPr>
          <w:rFonts w:hint="eastAsia" w:eastAsia="仿宋_GB2312"/>
          <w:color w:val="auto"/>
          <w:szCs w:val="32"/>
        </w:rPr>
        <w:t>形成以产业发展指导员为纽带，以示范户为核心，以农业园区、农业企业、专业合作社、家庭农场为主体的技术传播网络。加强县、镇两级农业技术推广体系和农技队伍建设，支持重大农业技术推广，加快实施科技入户工程，着力培育科技大户、示范户，发挥科技示范带动作用，打通农业科技成果转化最后“一公里”。</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创新科技信息扩散传播渠道。</w:t>
      </w:r>
      <w:r>
        <w:rPr>
          <w:rFonts w:hint="eastAsia" w:eastAsia="仿宋_GB2312"/>
          <w:color w:val="auto"/>
          <w:szCs w:val="32"/>
        </w:rPr>
        <w:t>利用广播、电台、报纸、微博、微信公众号、抖音、手机短信等，开设科技专栏，定期发布推送科技信息，解决生产技术难题，将科学技术传送到千家万户。</w:t>
      </w:r>
    </w:p>
    <w:p>
      <w:pPr>
        <w:spacing w:line="560" w:lineRule="exact"/>
        <w:ind w:firstLine="643" w:firstLineChars="200"/>
        <w:rPr>
          <w:rFonts w:ascii="仿宋" w:hAnsi="仿宋" w:cs="仿宋_GB2312"/>
          <w:color w:val="auto"/>
          <w:szCs w:val="32"/>
        </w:rPr>
      </w:pPr>
      <w:r>
        <w:rPr>
          <w:rFonts w:hint="eastAsia" w:ascii="仿宋_GB2312" w:hAnsi="仿宋_GB2312" w:eastAsia="仿宋_GB2312" w:cs="仿宋_GB2312"/>
          <w:b/>
          <w:bCs/>
          <w:color w:val="auto"/>
          <w:szCs w:val="32"/>
        </w:rPr>
        <w:t>纵深推进科技全产业培训。</w:t>
      </w:r>
      <w:r>
        <w:rPr>
          <w:rFonts w:hint="eastAsia" w:eastAsia="仿宋_GB2312"/>
          <w:color w:val="auto"/>
          <w:szCs w:val="32"/>
        </w:rPr>
        <w:t>以“千村千名产业技术员”和“五大特色产业技术体系”建设为抓手，坚持“走出去与沉下去培训”相结合，“全覆盖培训与领军专家重点培养”相结合，打造能干事的农业科技队伍。依托科技人员专项培训计划、秦巴片区科技特派员农村科技创业骨干培训计划和县区科技特派员素质提升工程，组织培训县区科技部门管理和服务人员，提高其科技政策水平和项目组织管理能力。</w:t>
      </w:r>
      <w:r>
        <w:rPr>
          <w:rFonts w:hint="eastAsia" w:ascii="仿宋" w:hAnsi="仿宋" w:cs="仿宋_GB2312"/>
          <w:color w:val="auto"/>
          <w:szCs w:val="32"/>
        </w:rPr>
        <w:t xml:space="preserve"> </w:t>
      </w:r>
    </w:p>
    <w:p>
      <w:pPr>
        <w:pStyle w:val="5"/>
        <w:spacing w:line="560" w:lineRule="exact"/>
        <w:ind w:firstLine="643"/>
        <w:rPr>
          <w:color w:val="auto"/>
        </w:rPr>
      </w:pPr>
      <w:bookmarkStart w:id="293" w:name="_Toc65239468"/>
      <w:bookmarkEnd w:id="293"/>
      <w:bookmarkStart w:id="294" w:name="_Toc65437846"/>
      <w:bookmarkEnd w:id="294"/>
      <w:bookmarkStart w:id="295" w:name="_Toc17971"/>
      <w:bookmarkEnd w:id="295"/>
      <w:bookmarkStart w:id="296" w:name="_Toc65350357"/>
      <w:bookmarkEnd w:id="296"/>
      <w:bookmarkStart w:id="297" w:name="_Toc71835977"/>
      <w:bookmarkStart w:id="298" w:name="_Toc67060773"/>
      <w:bookmarkStart w:id="299" w:name="_Toc65241417"/>
      <w:r>
        <w:rPr>
          <w:rFonts w:hint="eastAsia"/>
          <w:color w:val="auto"/>
        </w:rPr>
        <w:t>六、</w:t>
      </w:r>
      <w:r>
        <w:rPr>
          <w:color w:val="auto"/>
        </w:rPr>
        <w:t>强化</w:t>
      </w:r>
      <w:r>
        <w:rPr>
          <w:rFonts w:hint="eastAsia"/>
          <w:color w:val="auto"/>
        </w:rPr>
        <w:t>农业产业融合</w:t>
      </w:r>
      <w:bookmarkEnd w:id="297"/>
      <w:bookmarkEnd w:id="298"/>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农业+文化+旅游。</w:t>
      </w:r>
      <w:r>
        <w:rPr>
          <w:rFonts w:hint="eastAsia" w:eastAsia="仿宋_GB2312"/>
          <w:color w:val="auto"/>
          <w:szCs w:val="32"/>
        </w:rPr>
        <w:t>将农业自身的文化特质与旅游产业相结合,催生休闲旅游农业,发展兼具游玩、观赏、体验、休闲、教育等多种功能的新兴文化产业。</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农业+文化+制造。</w:t>
      </w:r>
      <w:r>
        <w:rPr>
          <w:rFonts w:hint="eastAsia" w:eastAsia="仿宋_GB2312"/>
          <w:color w:val="auto"/>
          <w:szCs w:val="32"/>
        </w:rPr>
        <w:t>在文化引领下,在农产品深加工领域,挖掘地方文化农业资源, 将传统技艺和现代技术、地方文化特色融合起来，赋予农产品文化元素和艺术元素,生产差异化的功能性健康食品和农村艺术品、特色纪念品。</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农业+创意+动漫。</w:t>
      </w:r>
      <w:r>
        <w:rPr>
          <w:rFonts w:hint="eastAsia" w:eastAsia="仿宋_GB2312"/>
          <w:color w:val="auto"/>
          <w:szCs w:val="32"/>
        </w:rPr>
        <w:t>将农业生产与动漫形象化下的农耕文化有机结合,把农产品生产过程赋予文化动漫形象,提高农业的文化附加值。</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农业+创意+互联网。</w:t>
      </w:r>
      <w:r>
        <w:rPr>
          <w:rFonts w:hint="eastAsia" w:eastAsia="仿宋_GB2312"/>
          <w:color w:val="auto"/>
          <w:szCs w:val="32"/>
        </w:rPr>
        <w:t>将农业与文化创意产业的新闻、广告、营销传播和公共关系等渗透融合，借助电子商务平台，促进乡土特色农产品线上线下销售。</w:t>
      </w:r>
    </w:p>
    <w:p>
      <w:pPr>
        <w:pStyle w:val="4"/>
        <w:spacing w:line="560" w:lineRule="exact"/>
        <w:rPr>
          <w:color w:val="auto"/>
        </w:rPr>
      </w:pPr>
      <w:bookmarkStart w:id="300" w:name="_Toc71835978"/>
      <w:bookmarkStart w:id="301" w:name="_Toc15829"/>
      <w:bookmarkStart w:id="302" w:name="_Toc67060774"/>
      <w:r>
        <w:rPr>
          <w:rFonts w:hint="eastAsia"/>
          <w:color w:val="auto"/>
        </w:rPr>
        <w:t>第二节 助力乡村振兴稳步启航</w:t>
      </w:r>
      <w:bookmarkEnd w:id="299"/>
      <w:bookmarkEnd w:id="300"/>
      <w:bookmarkEnd w:id="301"/>
      <w:bookmarkEnd w:id="302"/>
    </w:p>
    <w:p>
      <w:pPr>
        <w:pStyle w:val="5"/>
        <w:spacing w:line="560" w:lineRule="exact"/>
        <w:ind w:firstLine="643"/>
        <w:rPr>
          <w:color w:val="auto"/>
        </w:rPr>
      </w:pPr>
      <w:bookmarkStart w:id="303" w:name="_Toc65350358"/>
      <w:bookmarkEnd w:id="303"/>
      <w:bookmarkStart w:id="304" w:name="_Toc65241418"/>
      <w:bookmarkEnd w:id="304"/>
      <w:bookmarkStart w:id="305" w:name="_Toc65437847"/>
      <w:bookmarkEnd w:id="305"/>
      <w:bookmarkStart w:id="306" w:name="_Toc71835979"/>
      <w:bookmarkStart w:id="307" w:name="_Toc67060775"/>
      <w:bookmarkStart w:id="308" w:name="_Toc16286"/>
      <w:r>
        <w:rPr>
          <w:rFonts w:hint="eastAsia"/>
          <w:color w:val="auto"/>
        </w:rPr>
        <w:t>一、“科技</w:t>
      </w:r>
      <w:r>
        <w:rPr>
          <w:rFonts w:hint="eastAsia" w:ascii="仿宋_GB2312" w:hAnsi="仿宋_GB2312" w:eastAsia="仿宋_GB2312" w:cs="仿宋_GB2312"/>
          <w:color w:val="auto"/>
        </w:rPr>
        <w:t>+</w:t>
      </w:r>
      <w:r>
        <w:rPr>
          <w:rFonts w:hint="eastAsia"/>
          <w:color w:val="auto"/>
        </w:rPr>
        <w:t>”培育产业发展动能</w:t>
      </w:r>
      <w:bookmarkEnd w:id="306"/>
      <w:bookmarkEnd w:id="307"/>
      <w:bookmarkEnd w:id="308"/>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加强村镇科技创新能力建设，引导高校、科研院所、企业等在村镇建设试验示范站等科研平台。加强农业农村领域科技创新体系建设，加大农业创新创业人才培养力度，推行科技人员基层服务行动，优先支持乡村振兴关联产业技术发展。围绕村镇主导产业发展，开展产业关键共性技术研发，支持基础条件较好的镇村先试先行，建设一批科技示范镇村，充分发挥科技创新在乡村振兴中的支撑作用。</w:t>
      </w:r>
    </w:p>
    <w:p>
      <w:pPr>
        <w:pStyle w:val="5"/>
        <w:spacing w:line="560" w:lineRule="exact"/>
        <w:ind w:firstLine="643"/>
        <w:rPr>
          <w:color w:val="auto"/>
        </w:rPr>
      </w:pPr>
      <w:bookmarkStart w:id="309" w:name="_Toc65437848"/>
      <w:bookmarkEnd w:id="309"/>
      <w:bookmarkStart w:id="310" w:name="_Toc9687"/>
      <w:bookmarkStart w:id="311" w:name="_Toc71835980"/>
      <w:bookmarkStart w:id="312" w:name="_Toc67060776"/>
      <w:r>
        <w:rPr>
          <w:rFonts w:hint="eastAsia"/>
          <w:color w:val="auto"/>
        </w:rPr>
        <w:t>二、</w:t>
      </w:r>
      <w:bookmarkEnd w:id="310"/>
      <w:r>
        <w:rPr>
          <w:rFonts w:hint="eastAsia"/>
          <w:color w:val="auto"/>
        </w:rPr>
        <w:t>“四个一”工程巩固脱贫成果</w:t>
      </w:r>
      <w:bookmarkEnd w:id="311"/>
      <w:bookmarkEnd w:id="312"/>
    </w:p>
    <w:p>
      <w:pPr>
        <w:snapToGrid w:val="0"/>
        <w:spacing w:line="560" w:lineRule="exact"/>
        <w:ind w:firstLine="640" w:firstLineChars="200"/>
        <w:rPr>
          <w:rFonts w:hint="eastAsia" w:eastAsia="仿宋_GB2312"/>
          <w:color w:val="auto"/>
          <w:szCs w:val="32"/>
        </w:rPr>
      </w:pPr>
      <w:r>
        <w:rPr>
          <w:rFonts w:hint="eastAsia" w:eastAsia="仿宋_GB2312"/>
          <w:color w:val="auto"/>
          <w:szCs w:val="32"/>
        </w:rPr>
        <w:t>保</w:t>
      </w:r>
      <w:r>
        <w:rPr>
          <w:rFonts w:hint="eastAsia" w:ascii="仿宋_GB2312" w:hAnsi="仿宋_GB2312" w:eastAsia="仿宋_GB2312" w:cs="仿宋_GB2312"/>
          <w:color w:val="auto"/>
          <w:szCs w:val="32"/>
        </w:rPr>
        <w:t>持科技扶持政策的延续性稳定性，持续实施县区科技工作“四个一”工程，培育1个科技示范基地、组织开展1项重点产业关键技术攻关，打造1个科技工作亮点、主抓1个乡村振兴科技示范村或示范点。</w:t>
      </w:r>
    </w:p>
    <w:p>
      <w:pPr>
        <w:pStyle w:val="5"/>
        <w:spacing w:line="560" w:lineRule="exact"/>
        <w:ind w:firstLine="643"/>
        <w:rPr>
          <w:color w:val="auto"/>
        </w:rPr>
      </w:pPr>
      <w:bookmarkStart w:id="313" w:name="_Toc65350360"/>
      <w:bookmarkEnd w:id="313"/>
      <w:bookmarkStart w:id="314" w:name="_Toc65437849"/>
      <w:bookmarkEnd w:id="314"/>
      <w:bookmarkStart w:id="315" w:name="_Toc65350359"/>
      <w:bookmarkEnd w:id="315"/>
      <w:bookmarkStart w:id="316" w:name="_Toc65241419"/>
      <w:bookmarkEnd w:id="316"/>
      <w:bookmarkStart w:id="317" w:name="_Toc65437850"/>
      <w:bookmarkEnd w:id="317"/>
      <w:bookmarkStart w:id="318" w:name="_Toc65241420"/>
      <w:bookmarkEnd w:id="318"/>
      <w:bookmarkStart w:id="319" w:name="_Toc71835981"/>
      <w:bookmarkStart w:id="320" w:name="_Toc67060777"/>
      <w:r>
        <w:rPr>
          <w:rFonts w:hint="eastAsia"/>
          <w:color w:val="auto"/>
        </w:rPr>
        <w:t>三、典型示范加速成果推广转化</w:t>
      </w:r>
      <w:bookmarkEnd w:id="319"/>
      <w:bookmarkEnd w:id="320"/>
    </w:p>
    <w:p>
      <w:pPr>
        <w:snapToGrid w:val="0"/>
        <w:spacing w:line="560" w:lineRule="exact"/>
        <w:ind w:firstLine="640" w:firstLineChars="200"/>
        <w:rPr>
          <w:rFonts w:hint="eastAsia" w:eastAsia="仿宋_GB2312"/>
          <w:color w:val="auto"/>
          <w:szCs w:val="32"/>
        </w:rPr>
      </w:pPr>
      <w:r>
        <w:rPr>
          <w:rFonts w:hint="eastAsia" w:eastAsia="仿宋_GB2312"/>
          <w:color w:val="auto"/>
          <w:szCs w:val="32"/>
        </w:rPr>
        <w:t xml:space="preserve">进一步强化科技同经济对接、创新成果同产业对接、创新项目同现实生产力对接、研发人员创新劳动同其利益收入对接，形成有利于出创新成果、有利于创新成果产业化的新机制。加快构建农业农村科技示范网络体系，抓好科技示范园、示范村、示范点、示范户建设，建立区域性农业科技成果创新实验和综合示范基地，加速新技术成果示范辐射。 </w:t>
      </w:r>
    </w:p>
    <w:p>
      <w:pPr>
        <w:pStyle w:val="5"/>
        <w:spacing w:line="560" w:lineRule="exact"/>
        <w:ind w:firstLine="643"/>
        <w:rPr>
          <w:color w:val="auto"/>
        </w:rPr>
      </w:pPr>
      <w:bookmarkStart w:id="321" w:name="_Toc65350362"/>
      <w:bookmarkEnd w:id="321"/>
      <w:bookmarkStart w:id="322" w:name="_Toc65241422"/>
      <w:bookmarkEnd w:id="322"/>
      <w:bookmarkStart w:id="323" w:name="_Toc65437851"/>
      <w:bookmarkEnd w:id="323"/>
      <w:bookmarkStart w:id="324" w:name="_Toc65350361"/>
      <w:bookmarkEnd w:id="324"/>
      <w:bookmarkStart w:id="325" w:name="_Toc65241421"/>
      <w:bookmarkEnd w:id="325"/>
      <w:bookmarkStart w:id="326" w:name="_Toc10120"/>
      <w:bookmarkEnd w:id="326"/>
      <w:bookmarkStart w:id="327" w:name="_Toc67060778"/>
      <w:bookmarkStart w:id="328" w:name="_Toc71835982"/>
      <w:r>
        <w:rPr>
          <w:rFonts w:hint="eastAsia"/>
          <w:color w:val="auto"/>
        </w:rPr>
        <w:t>四、科技服务</w:t>
      </w:r>
      <w:bookmarkEnd w:id="327"/>
      <w:r>
        <w:rPr>
          <w:rFonts w:hint="eastAsia"/>
          <w:color w:val="auto"/>
        </w:rPr>
        <w:t>推动乡村人才振兴</w:t>
      </w:r>
      <w:bookmarkEnd w:id="328"/>
    </w:p>
    <w:p>
      <w:pPr>
        <w:snapToGrid w:val="0"/>
        <w:spacing w:line="560" w:lineRule="exact"/>
        <w:ind w:firstLine="640" w:firstLineChars="200"/>
        <w:rPr>
          <w:rFonts w:hint="eastAsia" w:eastAsia="仿宋_GB2312"/>
          <w:color w:val="auto"/>
          <w:szCs w:val="32"/>
        </w:rPr>
      </w:pPr>
      <w:r>
        <w:rPr>
          <w:rFonts w:hint="eastAsia" w:eastAsia="仿宋_GB2312"/>
          <w:color w:val="auto"/>
          <w:szCs w:val="32"/>
        </w:rPr>
        <w:t>依托科技特派员、产业发展指导员等，把科技渗透到千家万户。挖掘、培育乡土科技人才、土专家，服务特色主导产业。</w:t>
      </w:r>
    </w:p>
    <w:tbl>
      <w:tblPr>
        <w:tblStyle w:val="24"/>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4" w:type="dxa"/>
            <w:tcBorders>
              <w:top w:val="single" w:color="auto" w:sz="4" w:space="0"/>
              <w:left w:val="single" w:color="auto" w:sz="4" w:space="0"/>
              <w:bottom w:val="single" w:color="auto" w:sz="4" w:space="0"/>
              <w:right w:val="single" w:color="auto" w:sz="4" w:space="0"/>
            </w:tcBorders>
          </w:tcPr>
          <w:p>
            <w:pPr>
              <w:pStyle w:val="8"/>
              <w:keepNext/>
              <w:spacing w:line="400" w:lineRule="exact"/>
              <w:jc w:val="center"/>
              <w:rPr>
                <w:rFonts w:ascii="宋体" w:hAnsi="宋体"/>
                <w:b/>
                <w:bCs/>
                <w:color w:val="auto"/>
                <w:sz w:val="28"/>
                <w:szCs w:val="28"/>
              </w:rPr>
            </w:pPr>
            <w:bookmarkStart w:id="329" w:name="_Toc75529323"/>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7</w:t>
            </w:r>
            <w:r>
              <w:rPr>
                <w:rFonts w:cs="仿宋" w:asciiTheme="minorEastAsia" w:hAnsiTheme="minorEastAsia" w:eastAsiaTheme="minorEastAsia"/>
                <w:b/>
                <w:color w:val="auto"/>
                <w:sz w:val="24"/>
                <w:szCs w:val="24"/>
              </w:rPr>
              <w:fldChar w:fldCharType="end"/>
            </w:r>
            <w:r>
              <w:rPr>
                <w:rFonts w:hint="eastAsia" w:cs="仿宋" w:asciiTheme="minorEastAsia" w:hAnsiTheme="minorEastAsia" w:eastAsiaTheme="minorEastAsia"/>
                <w:b/>
                <w:color w:val="auto"/>
                <w:sz w:val="24"/>
                <w:szCs w:val="24"/>
              </w:rPr>
              <w:t xml:space="preserve"> </w:t>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乡村振兴支撑工程</w:t>
            </w:r>
            <w:bookmarkEnd w:id="3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4"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科技振兴乡村产业：围绕优质富硒农产品生产基地和秦巴有机农产品供应基地建设，做好茶叶、魔芋、核桃、生猪、生态渔业五大特色产业及中药材、蚕桑、烤烟、蔬菜、食用菌、猕猴桃等县域特色产业示范园区（基地）建设。</w:t>
            </w:r>
          </w:p>
          <w:p>
            <w:pPr>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2.科技赋能农业园区：从园区功能、产出能力、设施装备、经营管理、考核验收等方面出台制度，加强农业园区规范化发展，促进农业园区功能完善、提档升级和提质增效，培育一批农业科技示范园区。</w:t>
            </w:r>
          </w:p>
          <w:p>
            <w:pPr>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3.建设科技示范镇村：建设科技示范镇10个、科技示范村20个。</w:t>
            </w:r>
          </w:p>
          <w:p>
            <w:pPr>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4.培育农村创新主体：聚焦农业企业、家庭农场、农民合作社和农业社会化服务组织发展需求，以新型农业经营主体和服务主体负责人、农业经理人为重点，开展农业经营管理、品牌创建、产品营销等专题培训。</w:t>
            </w:r>
          </w:p>
          <w:p>
            <w:pPr>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5.培育高素质农民：以种植业、养殖业、农产品加工业的大户为重点，开展专项技术技能培训。</w:t>
            </w:r>
          </w:p>
          <w:p>
            <w:pPr>
              <w:keepNext/>
              <w:snapToGrid w:val="0"/>
              <w:spacing w:line="400" w:lineRule="exact"/>
              <w:ind w:firstLine="480" w:firstLineChars="200"/>
              <w:rPr>
                <w:rFonts w:ascii="仿宋" w:hAnsi="仿宋" w:cs="仿宋_GB2312"/>
                <w:color w:val="auto"/>
              </w:rPr>
            </w:pPr>
            <w:r>
              <w:rPr>
                <w:rFonts w:hint="eastAsia" w:ascii="宋体" w:hAnsi="宋体" w:eastAsia="宋体" w:cs="宋体"/>
                <w:color w:val="auto"/>
                <w:sz w:val="24"/>
                <w:szCs w:val="24"/>
              </w:rPr>
              <w:t>6.提升基层农技人员创新能力：面向基层科技人员、产业发展指导员、返乡下乡创新创业者、农业园区工作人员等，分类别、分层次地开展农村创新创业政策、农业产业政策、产业项目、专项技术技能等专题培训。</w:t>
            </w:r>
          </w:p>
        </w:tc>
      </w:tr>
    </w:tbl>
    <w:p>
      <w:pPr>
        <w:pStyle w:val="4"/>
        <w:spacing w:line="560" w:lineRule="exact"/>
        <w:rPr>
          <w:color w:val="auto"/>
        </w:rPr>
      </w:pPr>
      <w:bookmarkStart w:id="330" w:name="_Toc27729"/>
      <w:bookmarkEnd w:id="330"/>
      <w:bookmarkStart w:id="331" w:name="_Toc65241423"/>
      <w:bookmarkEnd w:id="331"/>
      <w:bookmarkStart w:id="332" w:name="_Toc65350363"/>
      <w:bookmarkEnd w:id="332"/>
      <w:bookmarkStart w:id="333" w:name="_Toc65239469"/>
      <w:bookmarkEnd w:id="333"/>
      <w:bookmarkStart w:id="334" w:name="_Toc65437853"/>
      <w:bookmarkStart w:id="335" w:name="_Toc67060779"/>
      <w:bookmarkStart w:id="336" w:name="_Toc23609"/>
      <w:bookmarkStart w:id="337" w:name="_Toc71835983"/>
      <w:r>
        <w:rPr>
          <w:rFonts w:hint="eastAsia"/>
          <w:color w:val="auto"/>
        </w:rPr>
        <w:t>第三节</w:t>
      </w:r>
      <w:r>
        <w:rPr>
          <w:rFonts w:hint="eastAsia"/>
          <w:color w:val="auto"/>
          <w:lang w:val="en-US" w:eastAsia="zh-CN"/>
        </w:rPr>
        <w:t xml:space="preserve"> </w:t>
      </w:r>
      <w:r>
        <w:rPr>
          <w:rFonts w:hint="eastAsia"/>
          <w:color w:val="auto"/>
        </w:rPr>
        <w:t>有效提升县域创新能力</w:t>
      </w:r>
      <w:bookmarkEnd w:id="334"/>
      <w:bookmarkEnd w:id="335"/>
      <w:bookmarkEnd w:id="336"/>
      <w:bookmarkEnd w:id="337"/>
    </w:p>
    <w:p>
      <w:pPr>
        <w:pStyle w:val="5"/>
        <w:spacing w:line="560" w:lineRule="exact"/>
        <w:ind w:firstLine="643"/>
        <w:rPr>
          <w:color w:val="auto"/>
        </w:rPr>
      </w:pPr>
      <w:bookmarkStart w:id="338" w:name="_Toc29449"/>
      <w:bookmarkEnd w:id="338"/>
      <w:bookmarkStart w:id="339" w:name="_Toc65350364"/>
      <w:bookmarkEnd w:id="339"/>
      <w:bookmarkStart w:id="340" w:name="_Toc65241424"/>
      <w:bookmarkEnd w:id="340"/>
      <w:bookmarkStart w:id="341" w:name="_Toc71835984"/>
      <w:bookmarkStart w:id="342" w:name="_Toc65437854"/>
      <w:bookmarkStart w:id="343" w:name="_Toc67060780"/>
      <w:r>
        <w:rPr>
          <w:rFonts w:hint="eastAsia"/>
          <w:color w:val="auto"/>
        </w:rPr>
        <w:t>一、打造县域特色创新高地</w:t>
      </w:r>
      <w:bookmarkEnd w:id="341"/>
      <w:bookmarkEnd w:id="342"/>
      <w:bookmarkEnd w:id="343"/>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实行县域差异化发展。</w:t>
      </w:r>
      <w:r>
        <w:rPr>
          <w:rFonts w:hint="eastAsia" w:eastAsia="仿宋_GB2312"/>
          <w:color w:val="auto"/>
          <w:szCs w:val="32"/>
        </w:rPr>
        <w:t>鼓励各县区结合自身产业结构特点，构建链条相对完整的科技创新服务体系和良好的创新生态系统。产业基础不强、科技创新能力较弱的县域，要主动接受创新高地辐射，积极引进创新资源，围绕特色主导产业加强先进适用技术推广，通过科技创新实现产业结构优化升级。</w:t>
      </w:r>
    </w:p>
    <w:p>
      <w:pPr>
        <w:snapToGrid w:val="0"/>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探索创新驱动新路径。</w:t>
      </w:r>
      <w:r>
        <w:rPr>
          <w:rFonts w:hint="eastAsia" w:eastAsia="仿宋_GB2312"/>
          <w:color w:val="auto"/>
          <w:szCs w:val="32"/>
        </w:rPr>
        <w:t>构建县域特色产业创新链，建设一批科技示范基地、科技示范户、创业技术服务中心，组建专业技术创新团队。组织实施一批重点创新工程，打造各具特色的县域创新驱动发展示范引领高地，探索依靠创新驱动县域经济社会协调发展的新路径，让科技普惠乡村。充分发挥农业科技园区对县域经济创新带动作用，引导创新要素进入县域经济，构建县域特色产业技术创新体系，发展高新技术产业、改造传统产业，完善创新驱动的城镇化新机制。</w:t>
      </w:r>
    </w:p>
    <w:p>
      <w:pPr>
        <w:pStyle w:val="5"/>
        <w:spacing w:line="560" w:lineRule="exact"/>
        <w:ind w:firstLine="643"/>
        <w:rPr>
          <w:color w:val="auto"/>
        </w:rPr>
      </w:pPr>
      <w:bookmarkStart w:id="344" w:name="_Toc65241425"/>
      <w:bookmarkEnd w:id="344"/>
      <w:bookmarkStart w:id="345" w:name="_Toc793"/>
      <w:bookmarkEnd w:id="345"/>
      <w:bookmarkStart w:id="346" w:name="_Toc65350365"/>
      <w:bookmarkEnd w:id="346"/>
      <w:bookmarkStart w:id="347" w:name="_Toc67060781"/>
      <w:bookmarkStart w:id="348" w:name="_Toc71835985"/>
      <w:bookmarkStart w:id="349" w:name="_Toc65437855"/>
      <w:r>
        <w:rPr>
          <w:rFonts w:hint="eastAsia"/>
          <w:color w:val="auto"/>
        </w:rPr>
        <w:t>二、促进科技资源向县域流动</w:t>
      </w:r>
      <w:bookmarkEnd w:id="347"/>
      <w:bookmarkEnd w:id="348"/>
      <w:bookmarkEnd w:id="349"/>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支持县区科技资源统筹中心建设。</w:t>
      </w:r>
      <w:r>
        <w:rPr>
          <w:rFonts w:hint="eastAsia" w:eastAsia="仿宋_GB2312"/>
          <w:color w:val="auto"/>
          <w:szCs w:val="32"/>
        </w:rPr>
        <w:t>根据资源配置、产业发展和需求匹配等实际情况，支持县区建设科技资源统筹分中心，建立省、市、县三级科技信息服务网络，构建科技资源统筹服务体系，提升县区科技创新服务能力，改善科技服务环境，增强企业创新发展动力，形成推进创新型城市建设强大合力，为助力安康经济快速发展提供强有力的支撑。</w:t>
      </w:r>
    </w:p>
    <w:p>
      <w:pPr>
        <w:widowControl/>
        <w:spacing w:line="560" w:lineRule="exact"/>
        <w:ind w:firstLine="643" w:firstLineChars="200"/>
        <w:jc w:val="left"/>
        <w:rPr>
          <w:rFonts w:hint="eastAsia" w:eastAsia="仿宋_GB2312"/>
          <w:color w:val="auto"/>
          <w:szCs w:val="32"/>
        </w:rPr>
      </w:pPr>
      <w:r>
        <w:rPr>
          <w:rFonts w:hint="eastAsia" w:ascii="仿宋_GB2312" w:hAnsi="仿宋_GB2312" w:eastAsia="仿宋_GB2312" w:cs="仿宋_GB2312"/>
          <w:b/>
          <w:bCs/>
          <w:color w:val="auto"/>
          <w:szCs w:val="32"/>
        </w:rPr>
        <w:t>促进政产学研用五位一体协同创新。</w:t>
      </w:r>
      <w:r>
        <w:rPr>
          <w:rFonts w:hint="eastAsia" w:eastAsia="仿宋_GB2312"/>
          <w:color w:val="auto"/>
          <w:szCs w:val="32"/>
        </w:rPr>
        <w:t>支持县区积极与高校、科研院所合作，建立各类科技创新平台。支持县域企业与高校、科研院所联合开展创新，促进科技成果转移转化。以农业科技园区、农民专业合作社等为载体，引导大学生、返乡农民工参与农村科技创新创业。</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聚焦企业科技创新能力。</w:t>
      </w:r>
      <w:r>
        <w:rPr>
          <w:rFonts w:hint="eastAsia" w:eastAsia="仿宋_GB2312"/>
          <w:color w:val="auto"/>
          <w:szCs w:val="32"/>
        </w:rPr>
        <w:t>以破解产业发展中的关键技术难题为导向，以带动主导产业、特色优势产业质量和效益提升为重点，持续强化企业创新主体地位。积极培育高新技术企业。实施科技型中小企业成长计划，实现科技型中小企业量与质全面提升。</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构建多元科技投融资体系。</w:t>
      </w:r>
      <w:r>
        <w:rPr>
          <w:rFonts w:hint="eastAsia" w:eastAsia="仿宋_GB2312"/>
          <w:color w:val="auto"/>
          <w:szCs w:val="32"/>
        </w:rPr>
        <w:t>建立和完善以政府财政投入为引导、以企业投入为主体、以银行信贷和风险投资等金融资本为支撑、以民间投资为补充的多元化科技投融资体系。加大县域财政科技经费的投入力度，引导企业加大研发投入比重。拓宽融资渠道，综合运用科技风险投资、贷款贴息、担保补贴等方式，引导社会资本参与科技创新。</w:t>
      </w:r>
    </w:p>
    <w:p>
      <w:pPr>
        <w:pStyle w:val="5"/>
        <w:spacing w:line="560" w:lineRule="exact"/>
        <w:ind w:firstLine="643"/>
        <w:rPr>
          <w:color w:val="auto"/>
        </w:rPr>
      </w:pPr>
      <w:bookmarkStart w:id="350" w:name="_Toc65241426"/>
      <w:bookmarkEnd w:id="350"/>
      <w:bookmarkStart w:id="351" w:name="_Toc15340"/>
      <w:bookmarkEnd w:id="351"/>
      <w:bookmarkStart w:id="352" w:name="_Toc65437856"/>
      <w:bookmarkEnd w:id="352"/>
      <w:bookmarkStart w:id="353" w:name="_Toc65350366"/>
      <w:bookmarkStart w:id="354" w:name="_Toc71835986"/>
      <w:bookmarkStart w:id="355" w:name="_Toc67060782"/>
      <w:r>
        <w:rPr>
          <w:rFonts w:hint="eastAsia"/>
          <w:color w:val="auto"/>
        </w:rPr>
        <w:t>三、优化县域科技创新环境</w:t>
      </w:r>
      <w:bookmarkEnd w:id="353"/>
      <w:bookmarkEnd w:id="354"/>
      <w:bookmarkEnd w:id="355"/>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加强县域科技组织领导。</w:t>
      </w:r>
      <w:r>
        <w:rPr>
          <w:rFonts w:hint="eastAsia" w:eastAsia="仿宋_GB2312"/>
          <w:color w:val="auto"/>
          <w:szCs w:val="32"/>
        </w:rPr>
        <w:t>成立县（市、区）科技创新工作领导小组，加强县级科技管理机构，完善县域科技创新工作机制。制定县域科技创新规划，明确科技创新目标、任务和发展举措。衔接国家、省、市科技创新政策，不断完善县域科技创新政策措施。建立科技创新政策落实责任制，定期开展科技创新政策落实情况督导检查。</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营造县域科技创新生态。</w:t>
      </w:r>
      <w:r>
        <w:rPr>
          <w:rFonts w:hint="eastAsia" w:eastAsia="仿宋_GB2312"/>
          <w:color w:val="auto"/>
          <w:szCs w:val="32"/>
        </w:rPr>
        <w:t>加强顶层设计，持续强化县域科技创新生态的多主体协同、多要素联动、多领域互动，促进创新要素跨区域流动。通过政策、服务等方式引导县域科技创新，充分发挥企业、科研机构、社会服务机构等营造县域科技创新生态的主动性。</w:t>
      </w:r>
    </w:p>
    <w:p>
      <w:pPr>
        <w:spacing w:line="560" w:lineRule="exact"/>
        <w:ind w:firstLine="640" w:firstLineChars="200"/>
        <w:rPr>
          <w:rFonts w:ascii="仿宋" w:hAnsi="仿宋" w:cs="仿宋_GB2312"/>
          <w:color w:val="auto"/>
          <w:szCs w:val="32"/>
        </w:rPr>
      </w:pPr>
      <w:r>
        <w:rPr>
          <w:rFonts w:ascii="仿宋" w:hAnsi="仿宋" w:cs="仿宋_GB2312"/>
          <w:color w:val="auto"/>
          <w:szCs w:val="32"/>
        </w:rPr>
        <w:br w:type="page"/>
      </w:r>
    </w:p>
    <w:bookmarkEnd w:id="66"/>
    <w:bookmarkEnd w:id="67"/>
    <w:bookmarkEnd w:id="122"/>
    <w:bookmarkEnd w:id="123"/>
    <w:p>
      <w:pPr>
        <w:pStyle w:val="3"/>
        <w:spacing w:after="312" w:line="560" w:lineRule="exact"/>
        <w:rPr>
          <w:color w:val="auto"/>
        </w:rPr>
      </w:pPr>
      <w:bookmarkStart w:id="356" w:name="_Toc67060783"/>
      <w:bookmarkStart w:id="357" w:name="_Toc65437866"/>
      <w:bookmarkStart w:id="358" w:name="_Toc65239470"/>
      <w:bookmarkStart w:id="359" w:name="_Toc65241453"/>
      <w:bookmarkStart w:id="360" w:name="_Toc32490"/>
      <w:bookmarkStart w:id="361" w:name="_Toc65350377"/>
      <w:bookmarkStart w:id="362" w:name="_Toc71835987"/>
      <w:bookmarkStart w:id="363" w:name="_Toc65241463"/>
      <w:bookmarkStart w:id="364" w:name="_Toc65239480"/>
      <w:bookmarkStart w:id="365" w:name="_Toc65350388"/>
      <w:r>
        <w:rPr>
          <w:rFonts w:hint="eastAsia"/>
          <w:color w:val="auto"/>
        </w:rPr>
        <w:t>第六章 重视发展民生科技，增进人民健康福祉</w:t>
      </w:r>
      <w:bookmarkEnd w:id="356"/>
      <w:bookmarkEnd w:id="357"/>
      <w:bookmarkEnd w:id="358"/>
      <w:bookmarkEnd w:id="359"/>
      <w:bookmarkEnd w:id="360"/>
      <w:bookmarkEnd w:id="361"/>
      <w:bookmarkEnd w:id="362"/>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充分发挥科技在卫生健康、生态环境、公共安全、防灾减灾等领域的支撑作用，加大关键技术创新和成果转化，为提升人民生活品质提供强力保障。</w:t>
      </w:r>
    </w:p>
    <w:p>
      <w:pPr>
        <w:pStyle w:val="4"/>
        <w:spacing w:line="560" w:lineRule="exact"/>
        <w:rPr>
          <w:color w:val="auto"/>
        </w:rPr>
      </w:pPr>
      <w:bookmarkStart w:id="366" w:name="_Toc65350378"/>
      <w:bookmarkStart w:id="367" w:name="_Toc71835988"/>
      <w:bookmarkStart w:id="368" w:name="_Toc65437867"/>
      <w:bookmarkStart w:id="369" w:name="_Toc65239471"/>
      <w:bookmarkStart w:id="370" w:name="_Toc65241454"/>
      <w:bookmarkStart w:id="371" w:name="_Toc67060784"/>
      <w:bookmarkStart w:id="372" w:name="_Toc28844"/>
      <w:r>
        <w:rPr>
          <w:rFonts w:hint="eastAsia"/>
          <w:color w:val="auto"/>
        </w:rPr>
        <w:t>第一节 科技护卫“健康安康”</w:t>
      </w:r>
      <w:bookmarkEnd w:id="366"/>
      <w:bookmarkEnd w:id="367"/>
      <w:bookmarkEnd w:id="368"/>
      <w:bookmarkEnd w:id="369"/>
      <w:bookmarkEnd w:id="370"/>
      <w:bookmarkEnd w:id="371"/>
      <w:bookmarkEnd w:id="372"/>
    </w:p>
    <w:p>
      <w:pPr>
        <w:pStyle w:val="5"/>
        <w:spacing w:line="560" w:lineRule="exact"/>
        <w:ind w:firstLine="643"/>
        <w:rPr>
          <w:color w:val="auto"/>
        </w:rPr>
      </w:pPr>
      <w:bookmarkStart w:id="373" w:name="_Toc67060785"/>
      <w:bookmarkStart w:id="374" w:name="_Toc65437868"/>
      <w:bookmarkStart w:id="375" w:name="_Toc71835989"/>
      <w:r>
        <w:rPr>
          <w:rFonts w:hint="eastAsia"/>
          <w:color w:val="auto"/>
        </w:rPr>
        <w:t>一、疾病防控</w:t>
      </w:r>
      <w:bookmarkEnd w:id="373"/>
      <w:bookmarkEnd w:id="374"/>
      <w:bookmarkEnd w:id="375"/>
    </w:p>
    <w:p>
      <w:pPr>
        <w:snapToGrid w:val="0"/>
        <w:spacing w:line="560" w:lineRule="exact"/>
        <w:ind w:firstLine="640" w:firstLineChars="200"/>
        <w:rPr>
          <w:rFonts w:hint="eastAsia" w:eastAsia="仿宋_GB2312"/>
          <w:color w:val="auto"/>
          <w:szCs w:val="32"/>
        </w:rPr>
      </w:pPr>
      <w:r>
        <w:rPr>
          <w:rFonts w:hint="eastAsia" w:eastAsia="仿宋_GB2312"/>
          <w:color w:val="auto"/>
          <w:szCs w:val="32"/>
        </w:rPr>
        <w:t>重点部署一批新发突发传染病、生物安全威胁和重大疫病防控科技攻关专项，支持医疗关键技术创新与新产品研发。建立科技防疫应急体系，加快大数据、人工智能、数字技术在卫生健康领域的应用步伐，充分发挥科学技术在疫情监测、预警预防方面的重要作用。充分发挥中医药在疫情防控中的独特优势和作用，加强中医药抗疫有效经验总结和临床数据挖掘。加强呼吸道传染病、心脑血管疾病、恶性肿瘤、代谢性疾病、精神神经疾病和免疫性疾病等慢性疾病防治技术基础研究，提升疑难疾病、重大疾病的救治能力。</w:t>
      </w:r>
    </w:p>
    <w:p>
      <w:pPr>
        <w:pStyle w:val="5"/>
        <w:spacing w:line="560" w:lineRule="exact"/>
        <w:ind w:firstLine="643"/>
        <w:rPr>
          <w:color w:val="auto"/>
        </w:rPr>
      </w:pPr>
      <w:bookmarkStart w:id="376" w:name="_Toc65437869"/>
      <w:bookmarkStart w:id="377" w:name="_Toc67060786"/>
      <w:bookmarkStart w:id="378" w:name="_Toc71835990"/>
      <w:r>
        <w:rPr>
          <w:rFonts w:hint="eastAsia"/>
          <w:color w:val="auto"/>
        </w:rPr>
        <w:t>二、医疗技术</w:t>
      </w:r>
      <w:bookmarkEnd w:id="376"/>
      <w:bookmarkEnd w:id="377"/>
      <w:bookmarkEnd w:id="378"/>
    </w:p>
    <w:p>
      <w:pPr>
        <w:snapToGrid w:val="0"/>
        <w:spacing w:line="560" w:lineRule="exact"/>
        <w:ind w:firstLine="640" w:firstLineChars="200"/>
        <w:rPr>
          <w:rFonts w:hint="eastAsia" w:eastAsia="仿宋_GB2312"/>
          <w:color w:val="auto"/>
          <w:szCs w:val="32"/>
        </w:rPr>
      </w:pPr>
      <w:r>
        <w:rPr>
          <w:rFonts w:hint="eastAsia" w:eastAsia="仿宋_GB2312"/>
          <w:color w:val="auto"/>
          <w:szCs w:val="32"/>
        </w:rPr>
        <w:t>依托市中心医院、中医医院、市人民医院等三级医院，启动建设秦巴（省级）区域医疗中心和实施中医传承创新工程，对心脑血管、恶性肿瘤、血液病、呼吸道传染病等开展深入临床研究，不断提升本地诊疗水平。推进精准医疗、生物治疗、生物医药等前沿领域研究，助力健康安康建设。</w:t>
      </w:r>
    </w:p>
    <w:p>
      <w:pPr>
        <w:pStyle w:val="5"/>
        <w:spacing w:line="560" w:lineRule="exact"/>
        <w:ind w:firstLine="643"/>
        <w:rPr>
          <w:color w:val="auto"/>
        </w:rPr>
      </w:pPr>
      <w:bookmarkStart w:id="379" w:name="_Toc71835991"/>
      <w:bookmarkStart w:id="380" w:name="_Toc65437870"/>
      <w:bookmarkStart w:id="381" w:name="_Toc67060787"/>
      <w:r>
        <w:rPr>
          <w:rFonts w:hint="eastAsia"/>
          <w:color w:val="auto"/>
        </w:rPr>
        <w:t>三、医疗器械</w:t>
      </w:r>
      <w:bookmarkEnd w:id="379"/>
      <w:bookmarkEnd w:id="380"/>
      <w:bookmarkEnd w:id="381"/>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支持市中心医院、中医医院、市人民医院等三级医院的医疗技术升级及设备更新换代，以早期诊断、精确诊断、微创治疗、精准治疗为方向，支持高端医学成像技术和设备、基于新材料的外科基础器械及植入器械等核心部件和关键技术攻关，提升医疗卫生技术装备水平。</w:t>
      </w:r>
    </w:p>
    <w:p>
      <w:pPr>
        <w:pStyle w:val="5"/>
        <w:spacing w:line="560" w:lineRule="exact"/>
        <w:ind w:firstLine="643"/>
        <w:rPr>
          <w:rFonts w:hint="eastAsia" w:ascii="仿宋_GB2312" w:hAnsi="仿宋_GB2312" w:eastAsia="仿宋_GB2312" w:cs="仿宋_GB2312"/>
          <w:color w:val="auto"/>
        </w:rPr>
      </w:pPr>
      <w:bookmarkStart w:id="382" w:name="_Toc71835992"/>
      <w:bookmarkStart w:id="383" w:name="_Toc67060788"/>
      <w:bookmarkStart w:id="384" w:name="_Toc65437871"/>
      <w:r>
        <w:rPr>
          <w:rFonts w:hint="eastAsia"/>
          <w:color w:val="auto"/>
        </w:rPr>
        <w:t>四、“互联网+医疗健康”</w:t>
      </w:r>
      <w:bookmarkEnd w:id="382"/>
      <w:bookmarkEnd w:id="383"/>
      <w:bookmarkEnd w:id="38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推进云计算、大数据、物联</w:t>
      </w:r>
      <w:r>
        <w:rPr>
          <w:rFonts w:hint="eastAsia" w:ascii="仿宋_GB2312" w:hAnsi="仿宋_GB2312" w:eastAsia="仿宋_GB2312" w:cs="仿宋_GB2312"/>
          <w:color w:val="auto"/>
          <w:szCs w:val="32"/>
        </w:rPr>
        <w:t>网、5G、人工智能、北斗、区块链等新技术与医疗健康服务融合创新。建立全市居民电子健康档案资源库。持续推进远程医疗建设和应用。推</w:t>
      </w:r>
      <w:r>
        <w:rPr>
          <w:rFonts w:hint="eastAsia" w:eastAsia="仿宋_GB2312"/>
          <w:color w:val="auto"/>
          <w:szCs w:val="32"/>
        </w:rPr>
        <w:t>广“互联网+家庭医生”签约服务。推动居民健康卡（电子健康卡）实现跨区域应用。完善全民健康信息平台，构建区域医疗卫生信息大数据中心。建成一批符合国家分级标准的“智慧医院”，提升卫生健康信息化建设、服务水平。</w:t>
      </w:r>
    </w:p>
    <w:p>
      <w:pPr>
        <w:pStyle w:val="4"/>
        <w:spacing w:line="560" w:lineRule="exact"/>
        <w:rPr>
          <w:color w:val="auto"/>
        </w:rPr>
      </w:pPr>
      <w:bookmarkStart w:id="385" w:name="_Toc65241455"/>
      <w:bookmarkStart w:id="386" w:name="_Toc65350379"/>
      <w:bookmarkStart w:id="387" w:name="_Toc65239472"/>
      <w:bookmarkStart w:id="388" w:name="_Toc65437873"/>
      <w:bookmarkStart w:id="389" w:name="_Toc21397"/>
      <w:bookmarkStart w:id="390" w:name="_Toc71835994"/>
      <w:bookmarkStart w:id="391" w:name="_Toc67060790"/>
      <w:r>
        <w:rPr>
          <w:rFonts w:hint="eastAsia"/>
          <w:color w:val="auto"/>
        </w:rPr>
        <w:t>第二节 构筑</w:t>
      </w:r>
      <w:bookmarkEnd w:id="385"/>
      <w:bookmarkEnd w:id="386"/>
      <w:bookmarkEnd w:id="387"/>
      <w:bookmarkEnd w:id="388"/>
      <w:r>
        <w:rPr>
          <w:rFonts w:hint="eastAsia"/>
          <w:color w:val="auto"/>
        </w:rPr>
        <w:t>生态防护屏障</w:t>
      </w:r>
      <w:bookmarkEnd w:id="389"/>
      <w:bookmarkEnd w:id="390"/>
      <w:bookmarkEnd w:id="391"/>
    </w:p>
    <w:p>
      <w:pPr>
        <w:pStyle w:val="5"/>
        <w:spacing w:line="560" w:lineRule="exact"/>
        <w:ind w:firstLine="643"/>
        <w:rPr>
          <w:color w:val="auto"/>
        </w:rPr>
      </w:pPr>
      <w:bookmarkStart w:id="392" w:name="_Toc71835995"/>
      <w:bookmarkStart w:id="393" w:name="_Toc67060791"/>
      <w:bookmarkStart w:id="394" w:name="_Toc65437874"/>
      <w:r>
        <w:rPr>
          <w:rFonts w:hint="eastAsia"/>
          <w:color w:val="auto"/>
        </w:rPr>
        <w:t>一、秦巴生态保护</w:t>
      </w:r>
      <w:bookmarkEnd w:id="392"/>
      <w:bookmarkEnd w:id="393"/>
      <w:bookmarkEnd w:id="39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支持水土保持科技支撑能力和水土流失监测网络建设，以生态环境修复治理和地质灾害预警预防为重点，加大白河硫铁矿、旬阳铅锌和汞矿及紫阳、汉滨蒿坪河流域等重点污染区域环境综合治理、生态修复技术研发。围绕南水北调水源地保护、长江经济带生态环境保护、汉江生态经济带建设中流域生态环境保护治理、秦巴湿地生态保护与修复等方面开展研究，为生态经济化、经济生态化发展献力献策。</w:t>
      </w:r>
    </w:p>
    <w:p>
      <w:pPr>
        <w:pStyle w:val="5"/>
        <w:spacing w:line="560" w:lineRule="exact"/>
        <w:ind w:firstLine="643"/>
        <w:rPr>
          <w:color w:val="auto"/>
        </w:rPr>
      </w:pPr>
      <w:bookmarkStart w:id="395" w:name="_Toc65437875"/>
      <w:bookmarkStart w:id="396" w:name="_Toc71835996"/>
      <w:bookmarkStart w:id="397" w:name="_Toc67060792"/>
      <w:r>
        <w:rPr>
          <w:rFonts w:hint="eastAsia"/>
          <w:color w:val="auto"/>
        </w:rPr>
        <w:t>二、水生态环境保护</w:t>
      </w:r>
      <w:bookmarkEnd w:id="395"/>
      <w:bookmarkEnd w:id="396"/>
      <w:bookmarkEnd w:id="397"/>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围绕汉江、月河、旬河、任河、白石河等流域水生态环境综合治理，开展重点流域污染防治技术协作攻关，推广应用先进适用节水治污技术和生态修复与综合治理模式。支持工业废水、城乡生活污水处理工艺改进、设备更新和水质监测、地下水污染修复等方面前沿技术推广应用。</w:t>
      </w:r>
    </w:p>
    <w:p>
      <w:pPr>
        <w:pStyle w:val="5"/>
        <w:spacing w:line="560" w:lineRule="exact"/>
        <w:ind w:firstLine="643"/>
        <w:rPr>
          <w:color w:val="auto"/>
        </w:rPr>
      </w:pPr>
      <w:bookmarkStart w:id="398" w:name="_Toc71835997"/>
      <w:bookmarkStart w:id="399" w:name="_Toc65437876"/>
      <w:bookmarkStart w:id="400" w:name="_Toc67060793"/>
      <w:r>
        <w:rPr>
          <w:rFonts w:hint="eastAsia"/>
          <w:color w:val="auto"/>
        </w:rPr>
        <w:t>三、大气治理</w:t>
      </w:r>
      <w:bookmarkEnd w:id="398"/>
      <w:bookmarkEnd w:id="399"/>
      <w:bookmarkEnd w:id="400"/>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支持社会事业单位和相关企业共同实施大气污染物综合治理工程，开展二氧化硫、氮氧化物、烟粉尘、挥发性有机物、氨气等污染物协同控制技术和机制创新，加强对工业、农业、交通、能源等污染物排放、大气质量监测等技术研究，积极推广应用低碳环保节能工艺技术，聚力打好蓝天保卫战。</w:t>
      </w:r>
    </w:p>
    <w:p>
      <w:pPr>
        <w:pStyle w:val="5"/>
        <w:spacing w:line="560" w:lineRule="exact"/>
        <w:ind w:firstLine="643"/>
        <w:rPr>
          <w:color w:val="auto"/>
        </w:rPr>
      </w:pPr>
      <w:bookmarkStart w:id="401" w:name="_Toc65437877"/>
      <w:bookmarkStart w:id="402" w:name="_Toc71835998"/>
      <w:bookmarkStart w:id="403" w:name="_Toc67060794"/>
      <w:r>
        <w:rPr>
          <w:rFonts w:hint="eastAsia"/>
          <w:color w:val="auto"/>
        </w:rPr>
        <w:t>四、</w:t>
      </w:r>
      <w:r>
        <w:rPr>
          <w:color w:val="auto"/>
        </w:rPr>
        <w:t>土壤安全</w:t>
      </w:r>
      <w:bookmarkEnd w:id="401"/>
      <w:bookmarkEnd w:id="402"/>
      <w:bookmarkEnd w:id="403"/>
    </w:p>
    <w:p>
      <w:pPr>
        <w:snapToGrid w:val="0"/>
        <w:spacing w:line="560" w:lineRule="exact"/>
        <w:ind w:firstLine="640" w:firstLineChars="200"/>
        <w:rPr>
          <w:rFonts w:hint="eastAsia" w:eastAsia="仿宋_GB2312"/>
          <w:color w:val="auto"/>
          <w:szCs w:val="32"/>
        </w:rPr>
      </w:pPr>
      <w:r>
        <w:rPr>
          <w:rFonts w:hint="eastAsia" w:eastAsia="仿宋_GB2312"/>
          <w:color w:val="auto"/>
          <w:szCs w:val="32"/>
        </w:rPr>
        <w:t>重点支持县区土壤污染治理与修复工程，推广土壤治理先进技术，加大对土壤污染防治相关技术研发。支持对重金属、工矿企业、尾矿库等典型污染场地的土壤污染监测与污染防治工作。加大农业面源污染防治支持力度，积极开展农田病虫害绿色防控、农药化肥减量化、农药废弃包装物及农膜集中回收处理、农作物秸秆回收利用等方面技术研究，从源头上遏制土壤污染。</w:t>
      </w:r>
    </w:p>
    <w:p>
      <w:pPr>
        <w:pStyle w:val="5"/>
        <w:spacing w:line="560" w:lineRule="exact"/>
        <w:ind w:firstLine="643"/>
        <w:rPr>
          <w:color w:val="auto"/>
        </w:rPr>
      </w:pPr>
      <w:bookmarkStart w:id="404" w:name="_Toc67060795"/>
      <w:bookmarkStart w:id="405" w:name="_Toc71835999"/>
      <w:r>
        <w:rPr>
          <w:rFonts w:hint="eastAsia"/>
          <w:color w:val="auto"/>
        </w:rPr>
        <w:t>五、乡村人居环境综合整治</w:t>
      </w:r>
      <w:bookmarkEnd w:id="404"/>
      <w:bookmarkEnd w:id="405"/>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大力支持农村生活垃圾、生活污水综合治理和推进“厕所革命”，</w:t>
      </w:r>
      <w:r>
        <w:rPr>
          <w:rFonts w:hint="eastAsia" w:ascii="仿宋_GB2312" w:hAnsi="仿宋_GB2312" w:eastAsia="仿宋_GB2312" w:cs="仿宋_GB2312"/>
          <w:color w:val="auto"/>
          <w:szCs w:val="32"/>
        </w:rPr>
        <w:t>将5G、IOT（物联网）、人工智能、大数据、云计算等现代信息技术用于智慧城镇、数字乡村建设，打造农村人居环境整治智慧平台，采用数据挖掘、模型建立及GIS的空间分析、时空分析方法，为乡村治理提供空间化和集成化的信息服务，推进农村人居环境管理决策从经验型向科技</w:t>
      </w:r>
      <w:r>
        <w:rPr>
          <w:rFonts w:hint="eastAsia" w:eastAsia="仿宋_GB2312"/>
          <w:color w:val="auto"/>
          <w:szCs w:val="32"/>
        </w:rPr>
        <w:t>型、智能型转变。</w:t>
      </w:r>
    </w:p>
    <w:p>
      <w:pPr>
        <w:pStyle w:val="4"/>
        <w:spacing w:line="560" w:lineRule="exact"/>
        <w:rPr>
          <w:rFonts w:ascii="宋体" w:hAnsi="宋体"/>
          <w:color w:val="auto"/>
        </w:rPr>
      </w:pPr>
      <w:bookmarkStart w:id="406" w:name="_Toc65350380"/>
      <w:bookmarkStart w:id="407" w:name="_Toc65241456"/>
      <w:bookmarkStart w:id="408" w:name="_Toc65437878"/>
      <w:bookmarkStart w:id="409" w:name="_Toc65239473"/>
      <w:bookmarkStart w:id="410" w:name="_Toc71836000"/>
      <w:bookmarkStart w:id="411" w:name="_Toc67060796"/>
      <w:bookmarkStart w:id="412" w:name="_Toc28988"/>
      <w:r>
        <w:rPr>
          <w:rFonts w:hint="eastAsia" w:ascii="宋体" w:hAnsi="宋体"/>
          <w:color w:val="auto"/>
        </w:rPr>
        <w:t>第三节 提供</w:t>
      </w:r>
      <w:r>
        <w:rPr>
          <w:color w:val="auto"/>
        </w:rPr>
        <w:fldChar w:fldCharType="begin"/>
      </w:r>
      <w:r>
        <w:rPr>
          <w:color w:val="auto"/>
        </w:rPr>
        <w:instrText xml:space="preserve"> HYPERLINK \l "_Toc13455" </w:instrText>
      </w:r>
      <w:r>
        <w:rPr>
          <w:color w:val="auto"/>
        </w:rPr>
        <w:fldChar w:fldCharType="separate"/>
      </w:r>
      <w:r>
        <w:rPr>
          <w:rFonts w:hint="eastAsia" w:ascii="宋体" w:hAnsi="宋体"/>
          <w:color w:val="auto"/>
        </w:rPr>
        <w:t>公共安全</w:t>
      </w:r>
      <w:bookmarkEnd w:id="406"/>
      <w:bookmarkEnd w:id="407"/>
      <w:bookmarkEnd w:id="408"/>
      <w:bookmarkEnd w:id="409"/>
      <w:r>
        <w:rPr>
          <w:rFonts w:hint="eastAsia" w:ascii="宋体" w:hAnsi="宋体"/>
          <w:color w:val="auto"/>
        </w:rPr>
        <w:fldChar w:fldCharType="end"/>
      </w:r>
      <w:r>
        <w:rPr>
          <w:rFonts w:hint="eastAsia" w:ascii="宋体" w:hAnsi="宋体"/>
          <w:color w:val="auto"/>
        </w:rPr>
        <w:t>保障</w:t>
      </w:r>
      <w:bookmarkEnd w:id="410"/>
      <w:bookmarkEnd w:id="411"/>
      <w:bookmarkEnd w:id="412"/>
    </w:p>
    <w:p>
      <w:pPr>
        <w:pStyle w:val="5"/>
        <w:spacing w:line="560" w:lineRule="exact"/>
        <w:ind w:firstLine="643"/>
        <w:rPr>
          <w:color w:val="auto"/>
        </w:rPr>
      </w:pPr>
      <w:bookmarkStart w:id="413" w:name="_Toc67060797"/>
      <w:bookmarkStart w:id="414" w:name="_Toc71836001"/>
      <w:bookmarkStart w:id="415" w:name="_Toc65437879"/>
      <w:r>
        <w:rPr>
          <w:rFonts w:hint="eastAsia"/>
          <w:color w:val="auto"/>
        </w:rPr>
        <w:t>一、社会治理</w:t>
      </w:r>
      <w:bookmarkEnd w:id="413"/>
      <w:bookmarkEnd w:id="414"/>
      <w:bookmarkEnd w:id="415"/>
    </w:p>
    <w:p>
      <w:pPr>
        <w:snapToGrid w:val="0"/>
        <w:spacing w:line="560" w:lineRule="exact"/>
        <w:ind w:firstLine="640" w:firstLineChars="200"/>
        <w:rPr>
          <w:rFonts w:hint="eastAsia" w:eastAsia="仿宋_GB2312"/>
          <w:color w:val="auto"/>
          <w:szCs w:val="32"/>
        </w:rPr>
      </w:pPr>
      <w:r>
        <w:rPr>
          <w:rFonts w:hint="eastAsia" w:eastAsia="仿宋_GB2312"/>
          <w:color w:val="auto"/>
          <w:szCs w:val="32"/>
        </w:rPr>
        <w:t>以创建全国平安建设优秀城市和全国市域社会治理现代化城市为抓手，革新治理理念，推广利用智能识别、人像比对、车辆识别、智能预警、云储存等现代技术，构建网格化、信息化、智能化的社会治安防控体系。健全治理体制，优化治理布局，完善治理方式，提升治理能力，加强应急管理，积极探索具有中国特色、时代特征、地域特点的“安康之治”，建设更高水平法治安康、平安安康。</w:t>
      </w:r>
      <w:bookmarkStart w:id="416" w:name="_Toc65437880"/>
    </w:p>
    <w:p>
      <w:pPr>
        <w:pStyle w:val="5"/>
        <w:spacing w:line="560" w:lineRule="exact"/>
        <w:ind w:firstLine="643"/>
        <w:rPr>
          <w:color w:val="auto"/>
        </w:rPr>
      </w:pPr>
      <w:bookmarkStart w:id="417" w:name="_Toc71836002"/>
      <w:bookmarkStart w:id="418" w:name="_Toc67060798"/>
      <w:r>
        <w:rPr>
          <w:rFonts w:hint="eastAsia"/>
          <w:color w:val="auto"/>
        </w:rPr>
        <w:t>二、生物安全</w:t>
      </w:r>
      <w:bookmarkEnd w:id="416"/>
      <w:bookmarkEnd w:id="417"/>
      <w:bookmarkEnd w:id="418"/>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构建生物安全技术体系。</w:t>
      </w:r>
      <w:r>
        <w:rPr>
          <w:rFonts w:hint="eastAsia" w:eastAsia="仿宋_GB2312"/>
          <w:color w:val="auto"/>
          <w:szCs w:val="32"/>
        </w:rPr>
        <w:t>加强对实验室生物安全、人类遗传资源和特殊生物资源流失、早期预警等关键领域的技术攻关和成果转化，科学防范和应对生物安全风险，保障人民生命健康。</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加强生物技术研发应用。</w:t>
      </w:r>
      <w:r>
        <w:rPr>
          <w:rFonts w:hint="eastAsia" w:eastAsia="仿宋_GB2312"/>
          <w:color w:val="auto"/>
          <w:szCs w:val="32"/>
        </w:rPr>
        <w:t>加大在生物技术和生物安全等研究领域的投入，开展生物安全核心技术攻关，尤其面对重大疫情，在可溯、可诊、可防、可治、可控方面加大研发力度，为保障人民生命安全、生物安全，维护国家战略安全提供坚实科技保障。</w:t>
      </w:r>
      <w:bookmarkStart w:id="419" w:name="_Toc65437881"/>
    </w:p>
    <w:p>
      <w:pPr>
        <w:pStyle w:val="5"/>
        <w:spacing w:line="560" w:lineRule="exact"/>
        <w:ind w:firstLine="643"/>
        <w:rPr>
          <w:color w:val="auto"/>
        </w:rPr>
      </w:pPr>
      <w:bookmarkStart w:id="420" w:name="_Toc67060799"/>
      <w:bookmarkStart w:id="421" w:name="_Toc71836003"/>
      <w:r>
        <w:rPr>
          <w:rFonts w:hint="eastAsia"/>
          <w:color w:val="auto"/>
        </w:rPr>
        <w:t>三、防灾减灾</w:t>
      </w:r>
      <w:bookmarkEnd w:id="419"/>
      <w:bookmarkEnd w:id="420"/>
      <w:bookmarkEnd w:id="421"/>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支持对气象、地质、洪涝、地震等各类自然灾害的监测、风险早期识别、预报预警等关键技术研发，运用大数据、云计算、物联网等科技成果，实时监测气象、水文、地质等数据，探索将防汛救灾纳入智慧城市建设，提升指挥调度、信息共享、联动配合等能力。加大对防灾减灾救灾新技术、新产品、新装备、新服务引进应用力度，更好发挥科技在防灾减灾中的支撑作用，提升灾害监测预警决策的精准度和抢险救灾的时效性，以科技编织防灾减灾的“安全网”，筑牢人民生命财产的“防护墙”。</w:t>
      </w:r>
    </w:p>
    <w:p>
      <w:pPr>
        <w:pStyle w:val="5"/>
        <w:keepNext/>
        <w:keepLines/>
        <w:pageBreakBefore w:val="0"/>
        <w:widowControl w:val="0"/>
        <w:kinsoku/>
        <w:wordWrap/>
        <w:overflowPunct/>
        <w:topLinePunct w:val="0"/>
        <w:autoSpaceDE/>
        <w:autoSpaceDN/>
        <w:bidi w:val="0"/>
        <w:adjustRightInd/>
        <w:snapToGrid/>
        <w:spacing w:before="157" w:beforeLines="50" w:beforeAutospacing="0" w:after="157" w:afterLines="50" w:line="560" w:lineRule="exact"/>
        <w:ind w:firstLine="643"/>
        <w:textAlignment w:val="auto"/>
        <w:rPr>
          <w:color w:val="auto"/>
        </w:rPr>
      </w:pPr>
      <w:bookmarkStart w:id="422" w:name="_Toc71836004"/>
      <w:bookmarkStart w:id="423" w:name="_Toc67060800"/>
      <w:bookmarkStart w:id="424" w:name="_Toc65437882"/>
      <w:r>
        <w:rPr>
          <w:rFonts w:hint="eastAsia"/>
          <w:color w:val="auto"/>
        </w:rPr>
        <w:t>四、食品安全</w:t>
      </w:r>
      <w:bookmarkEnd w:id="422"/>
      <w:bookmarkEnd w:id="423"/>
      <w:bookmarkEnd w:id="42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重点做好绿色安全食品生产基地建设、食品加工、技术改造、工艺改进等方面技术创新，开发全产业链食品质量控制系统，在食品质量检测识别技术、评估预警技术及溯源控制技术等方面力求突破。支持县区、企业开展绿色食品、有机农产品、地理标志农产品认证和管理，实施地理标志农产品保护工程，配合主管部门做好县区农产品质量检测中心建设</w:t>
      </w:r>
      <w:r>
        <w:rPr>
          <w:rFonts w:hint="eastAsia" w:eastAsia="仿宋_GB2312"/>
          <w:color w:val="auto"/>
          <w:szCs w:val="32"/>
          <w:lang w:eastAsia="zh-CN"/>
        </w:rPr>
        <w:t>、</w:t>
      </w:r>
      <w:r>
        <w:rPr>
          <w:rFonts w:hint="eastAsia" w:eastAsia="仿宋_GB2312"/>
          <w:color w:val="auto"/>
          <w:szCs w:val="32"/>
        </w:rPr>
        <w:t>技术人员培训、“两品一标”认证、质量追溯等工作。</w:t>
      </w:r>
    </w:p>
    <w:p>
      <w:pPr>
        <w:snapToGrid w:val="0"/>
        <w:spacing w:line="560" w:lineRule="exact"/>
        <w:ind w:firstLine="640" w:firstLineChars="200"/>
        <w:rPr>
          <w:rFonts w:ascii="仿宋" w:hAnsi="仿宋" w:cs="仿宋_GB2312"/>
          <w:color w:val="auto"/>
          <w:szCs w:val="32"/>
        </w:rPr>
      </w:pPr>
      <w:r>
        <w:rPr>
          <w:rFonts w:hint="eastAsia" w:ascii="仿宋" w:hAnsi="仿宋" w:cs="仿宋_GB2312"/>
          <w:color w:val="auto"/>
          <w:szCs w:val="32"/>
        </w:rPr>
        <w:br w:type="page"/>
      </w:r>
    </w:p>
    <w:p>
      <w:pPr>
        <w:pStyle w:val="3"/>
        <w:spacing w:after="312" w:line="560" w:lineRule="exact"/>
        <w:rPr>
          <w:color w:val="auto"/>
          <w:szCs w:val="32"/>
        </w:rPr>
      </w:pPr>
      <w:bookmarkStart w:id="425" w:name="_Toc65350381"/>
      <w:bookmarkStart w:id="426" w:name="_Toc65437883"/>
      <w:bookmarkStart w:id="427" w:name="_Toc65239474"/>
      <w:bookmarkStart w:id="428" w:name="_Toc65241457"/>
      <w:bookmarkStart w:id="429" w:name="_Toc67060801"/>
      <w:bookmarkStart w:id="430" w:name="_Toc14414"/>
      <w:bookmarkStart w:id="431" w:name="_Toc71836005"/>
      <w:r>
        <w:rPr>
          <w:rFonts w:hint="eastAsia"/>
          <w:color w:val="auto"/>
          <w:szCs w:val="32"/>
        </w:rPr>
        <w:t>第七章 完善融通创新生态，提升管理服务</w:t>
      </w:r>
      <w:bookmarkEnd w:id="425"/>
      <w:bookmarkEnd w:id="426"/>
      <w:bookmarkEnd w:id="427"/>
      <w:bookmarkEnd w:id="428"/>
      <w:r>
        <w:rPr>
          <w:rFonts w:hint="eastAsia"/>
          <w:color w:val="auto"/>
          <w:szCs w:val="32"/>
        </w:rPr>
        <w:t>水平</w:t>
      </w:r>
      <w:bookmarkEnd w:id="429"/>
      <w:bookmarkEnd w:id="430"/>
      <w:bookmarkEnd w:id="431"/>
    </w:p>
    <w:p>
      <w:pPr>
        <w:snapToGrid w:val="0"/>
        <w:spacing w:line="560" w:lineRule="exact"/>
        <w:ind w:firstLine="640" w:firstLineChars="200"/>
        <w:rPr>
          <w:rFonts w:hint="eastAsia" w:eastAsia="仿宋_GB2312"/>
          <w:color w:val="auto"/>
          <w:szCs w:val="32"/>
        </w:rPr>
      </w:pPr>
      <w:bookmarkStart w:id="432" w:name="_Toc65350382"/>
      <w:bookmarkStart w:id="433" w:name="_Toc65241458"/>
      <w:bookmarkStart w:id="434" w:name="_Toc65239475"/>
      <w:bookmarkStart w:id="435" w:name="_Toc65437884"/>
      <w:r>
        <w:rPr>
          <w:rFonts w:hint="eastAsia" w:eastAsia="仿宋_GB2312"/>
          <w:color w:val="auto"/>
          <w:szCs w:val="32"/>
        </w:rPr>
        <w:t>围绕创新型城市建设和产业发展需求，不断深化科技体制改革、聚集优秀人才、优化创新环境，为我市“追赶超越、绿色崛起”提供高质量科技供给。</w:t>
      </w:r>
    </w:p>
    <w:p>
      <w:pPr>
        <w:pStyle w:val="4"/>
        <w:spacing w:line="560" w:lineRule="exact"/>
        <w:rPr>
          <w:color w:val="auto"/>
        </w:rPr>
      </w:pPr>
      <w:bookmarkStart w:id="436" w:name="_Toc67060802"/>
      <w:bookmarkStart w:id="437" w:name="_Toc26998"/>
      <w:bookmarkStart w:id="438" w:name="_Toc71836006"/>
      <w:r>
        <w:rPr>
          <w:rFonts w:hint="eastAsia"/>
          <w:color w:val="auto"/>
        </w:rPr>
        <w:t>第一节 深化科技体制改革</w:t>
      </w:r>
      <w:bookmarkEnd w:id="432"/>
      <w:bookmarkEnd w:id="433"/>
      <w:bookmarkEnd w:id="434"/>
      <w:bookmarkEnd w:id="435"/>
      <w:bookmarkEnd w:id="436"/>
      <w:bookmarkEnd w:id="437"/>
      <w:bookmarkEnd w:id="438"/>
    </w:p>
    <w:p>
      <w:pPr>
        <w:pStyle w:val="5"/>
        <w:spacing w:line="560" w:lineRule="exact"/>
        <w:ind w:firstLine="643"/>
        <w:rPr>
          <w:color w:val="auto"/>
        </w:rPr>
      </w:pPr>
      <w:bookmarkStart w:id="439" w:name="_Toc71836007"/>
      <w:bookmarkStart w:id="440" w:name="_Toc67060803"/>
      <w:bookmarkStart w:id="441" w:name="_Toc65437886"/>
      <w:r>
        <w:rPr>
          <w:rFonts w:hint="eastAsia"/>
          <w:color w:val="auto"/>
        </w:rPr>
        <w:t>一、完善技术创新市场导向机制</w:t>
      </w:r>
      <w:bookmarkEnd w:id="439"/>
      <w:bookmarkEnd w:id="440"/>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建立技术创新的市场导向和政府引导的双重导向机制，出台相关激励政策，引导各类创新要素向企业集聚，促进企业成为技术创新决策、研发投入、科研组织和成果转化的主体，增强企业协同创新的积极主动性和创新能力。最大限度激发企业创新活力，使创新转化为实实在在的生产经营活动，培育新的增长点，促进经济转型升级提质增效。</w:t>
      </w:r>
    </w:p>
    <w:p>
      <w:pPr>
        <w:pStyle w:val="5"/>
        <w:spacing w:line="560" w:lineRule="exact"/>
        <w:ind w:firstLine="643"/>
        <w:rPr>
          <w:color w:val="auto"/>
        </w:rPr>
      </w:pPr>
      <w:bookmarkStart w:id="442" w:name="_Toc71836008"/>
      <w:r>
        <w:rPr>
          <w:color w:val="auto"/>
        </w:rPr>
        <w:t>二</w:t>
      </w:r>
      <w:r>
        <w:rPr>
          <w:rFonts w:hint="eastAsia"/>
          <w:color w:val="auto"/>
        </w:rPr>
        <w:t>、</w:t>
      </w:r>
      <w:r>
        <w:rPr>
          <w:color w:val="auto"/>
        </w:rPr>
        <w:t>建立科技工作会诊会商机制</w:t>
      </w:r>
      <w:bookmarkEnd w:id="442"/>
    </w:p>
    <w:p>
      <w:pPr>
        <w:snapToGrid w:val="0"/>
        <w:spacing w:line="560" w:lineRule="exact"/>
        <w:ind w:firstLine="640" w:firstLineChars="200"/>
        <w:rPr>
          <w:rFonts w:hint="eastAsia" w:eastAsia="仿宋_GB2312"/>
          <w:color w:val="auto"/>
          <w:szCs w:val="32"/>
        </w:rPr>
      </w:pPr>
      <w:r>
        <w:rPr>
          <w:rFonts w:hint="eastAsia" w:eastAsia="仿宋_GB2312"/>
          <w:color w:val="auto"/>
          <w:szCs w:val="32"/>
        </w:rPr>
        <w:t>针对我市重点产业、重点领域、重大项目的创新问题，开展科技工作会诊会商，通过问题收集、问题梳理和问题反馈，及时跟踪科技项目推进情况，协调解决产业发展、重大项目建设中遇到的技术难题。以问题为导向，不断更新重大科技项目库。</w:t>
      </w:r>
    </w:p>
    <w:p>
      <w:pPr>
        <w:pStyle w:val="5"/>
        <w:spacing w:line="560" w:lineRule="exact"/>
        <w:ind w:firstLine="643"/>
        <w:rPr>
          <w:color w:val="auto"/>
        </w:rPr>
      </w:pPr>
      <w:bookmarkStart w:id="443" w:name="_Toc71836009"/>
      <w:bookmarkStart w:id="444" w:name="_Toc67060805"/>
      <w:r>
        <w:rPr>
          <w:rFonts w:hint="eastAsia"/>
          <w:color w:val="auto"/>
        </w:rPr>
        <w:t>三、深化科技领域“放管服”改革</w:t>
      </w:r>
      <w:bookmarkEnd w:id="441"/>
      <w:bookmarkEnd w:id="443"/>
      <w:bookmarkEnd w:id="44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深化科研项目管理、科技评价、科技奖励等改革，完善科技计划项目指南编制和发布机制，建立健全符合科技创新规律的科研项目遴选、管理、验收结题、绩效评价等制度体系。破除“唯论文、唯职称、唯学历、唯奖项”弊端，逐步建立第三方评估机构对评估结果负责制和信用评价机制。改革科研经费管理办法，积极推行赋予科研人员科技成果所有权或长期使用权改革试点，进一步激发科研人员创新热情。大力培育高价值发明专利，积极探索产学研协同高价值专利培育新模式，强化高价值专利产出，提升企业市场核心竞争力。健全知识产权保护综合管理体制，打通知识产权创造、运用、保护、管理、服务各个环节，做好知识产权的全链条保护</w:t>
      </w:r>
      <w:bookmarkStart w:id="445" w:name="_Toc65437887"/>
      <w:r>
        <w:rPr>
          <w:rFonts w:hint="eastAsia" w:eastAsia="仿宋_GB2312"/>
          <w:color w:val="auto"/>
          <w:szCs w:val="32"/>
        </w:rPr>
        <w:t>。积极探索“链长制”新模式。</w:t>
      </w:r>
    </w:p>
    <w:p>
      <w:pPr>
        <w:pStyle w:val="5"/>
        <w:spacing w:line="560" w:lineRule="exact"/>
        <w:ind w:firstLine="643"/>
        <w:rPr>
          <w:color w:val="auto"/>
        </w:rPr>
      </w:pPr>
      <w:bookmarkStart w:id="446" w:name="_Toc71836010"/>
      <w:bookmarkStart w:id="447" w:name="_Toc67060806"/>
      <w:r>
        <w:rPr>
          <w:rFonts w:hint="eastAsia"/>
          <w:color w:val="auto"/>
        </w:rPr>
        <w:t>四</w:t>
      </w:r>
      <w:r>
        <w:rPr>
          <w:color w:val="auto"/>
        </w:rPr>
        <w:t>、</w:t>
      </w:r>
      <w:r>
        <w:rPr>
          <w:rFonts w:hint="eastAsia"/>
          <w:color w:val="auto"/>
        </w:rPr>
        <w:t>创建科技创新服务联盟</w:t>
      </w:r>
      <w:bookmarkEnd w:id="446"/>
      <w:bookmarkEnd w:id="447"/>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加快科技创新服务联盟建设。</w:t>
      </w:r>
      <w:r>
        <w:rPr>
          <w:rFonts w:hint="eastAsia" w:eastAsia="仿宋_GB2312"/>
          <w:color w:val="auto"/>
          <w:szCs w:val="32"/>
        </w:rPr>
        <w:t>充分发挥市场在资源配置中的决定性作用，以支撑创新驱动发展战略实施为目标，以满足科技需求和提升产业创新能力为导向，培育和壮大科技服务市场主体，创新科技服务模式，延展科技创新服务链，促进科技服务专业化、网络化、规模化发展。</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创新科技创新服务协同机制。</w:t>
      </w:r>
      <w:r>
        <w:rPr>
          <w:rFonts w:hint="eastAsia" w:eastAsia="仿宋_GB2312"/>
          <w:color w:val="auto"/>
          <w:szCs w:val="32"/>
        </w:rPr>
        <w:t>按照“共建、共享、共赢”的原则，集聚全市高校、科研院所、科技中介服务机构和需求型企业，为需求方提供成果对接、技术转移、项目申报、高企培育、专利代理、知识产权贯标、商标注册、体系认证、人力资源和财税代理等链条化服务。</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打造专业化科技创新服务团队。</w:t>
      </w:r>
      <w:r>
        <w:rPr>
          <w:rFonts w:hint="eastAsia" w:eastAsia="仿宋_GB2312"/>
          <w:color w:val="auto"/>
          <w:szCs w:val="32"/>
        </w:rPr>
        <w:t>加强科技创新服务联盟建设，力争打造一支高效、专业、本地化的科技创新服务团队。</w:t>
      </w:r>
    </w:p>
    <w:tbl>
      <w:tblPr>
        <w:tblStyle w:val="24"/>
        <w:tblW w:w="8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9" w:type="dxa"/>
            <w:shd w:val="clear" w:color="auto" w:fill="auto"/>
          </w:tcPr>
          <w:p>
            <w:pPr>
              <w:pStyle w:val="8"/>
              <w:keepNext/>
              <w:spacing w:line="400" w:lineRule="exact"/>
              <w:jc w:val="center"/>
              <w:rPr>
                <w:rFonts w:asciiTheme="minorEastAsia" w:hAnsiTheme="minorEastAsia" w:eastAsiaTheme="minorEastAsia"/>
                <w:b/>
                <w:bCs/>
                <w:color w:val="auto"/>
                <w:sz w:val="28"/>
                <w:szCs w:val="28"/>
              </w:rPr>
            </w:pPr>
            <w:bookmarkStart w:id="448" w:name="_Toc75529324"/>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8</w:t>
            </w:r>
            <w:r>
              <w:rPr>
                <w:rFonts w:cs="仿宋" w:asciiTheme="minorEastAsia" w:hAnsiTheme="minorEastAsia" w:eastAsiaTheme="minorEastAsia"/>
                <w:b/>
                <w:color w:val="auto"/>
                <w:sz w:val="24"/>
                <w:szCs w:val="24"/>
              </w:rPr>
              <w:fldChar w:fldCharType="end"/>
            </w:r>
            <w:r>
              <w:rPr>
                <w:rFonts w:hint="eastAsia" w:cs="仿宋" w:asciiTheme="minorEastAsia" w:hAnsiTheme="minorEastAsia" w:eastAsiaTheme="minorEastAsia"/>
                <w:b/>
                <w:color w:val="auto"/>
                <w:sz w:val="24"/>
                <w:szCs w:val="24"/>
              </w:rPr>
              <w:t xml:space="preserve"> </w:t>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科技队伍强基工程</w:t>
            </w:r>
            <w:bookmarkEnd w:id="4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9" w:type="dxa"/>
            <w:shd w:val="clear" w:color="auto" w:fill="auto"/>
          </w:tcPr>
          <w:p>
            <w:pPr>
              <w:spacing w:line="400" w:lineRule="exact"/>
              <w:ind w:firstLine="480" w:firstLineChars="200"/>
              <w:jc w:val="left"/>
              <w:rPr>
                <w:rFonts w:ascii="宋体" w:hAnsi="宋体" w:eastAsia="宋体" w:cs="宋体"/>
                <w:bCs/>
                <w:color w:val="auto"/>
                <w:sz w:val="24"/>
                <w:shd w:val="clear" w:color="auto" w:fill="FFFFFF"/>
              </w:rPr>
            </w:pPr>
            <w:r>
              <w:rPr>
                <w:rFonts w:hint="eastAsia" w:ascii="宋体" w:hAnsi="宋体" w:eastAsia="宋体" w:cs="宋体"/>
                <w:bCs/>
                <w:color w:val="auto"/>
                <w:sz w:val="24"/>
                <w:shd w:val="clear" w:color="auto" w:fill="FFFFFF"/>
              </w:rPr>
              <w:t>政治素质提升：学习贯彻习近平新时代中国特色社会主义思想，贯彻落实中省市决策部署，按照“忠诚、担当、专业、务实、守正”的要求，不断提升自身政治素质、道德品行和精神境界，建设一支政治坚定、勇于担当、博学睿智、持中守正的科技管理服务队伍。</w:t>
            </w:r>
          </w:p>
          <w:p>
            <w:pPr>
              <w:spacing w:line="400" w:lineRule="exact"/>
              <w:ind w:firstLine="480" w:firstLineChars="200"/>
              <w:jc w:val="left"/>
              <w:rPr>
                <w:rFonts w:ascii="宋体" w:hAnsi="宋体" w:eastAsia="宋体" w:cs="宋体"/>
                <w:bCs/>
                <w:color w:val="auto"/>
                <w:sz w:val="24"/>
                <w:shd w:val="clear" w:color="auto" w:fill="FFFFFF"/>
              </w:rPr>
            </w:pPr>
            <w:r>
              <w:rPr>
                <w:rFonts w:hint="eastAsia" w:ascii="宋体" w:hAnsi="宋体" w:eastAsia="宋体" w:cs="宋体"/>
                <w:bCs/>
                <w:color w:val="auto"/>
                <w:sz w:val="24"/>
                <w:shd w:val="clear" w:color="auto" w:fill="FFFFFF"/>
              </w:rPr>
              <w:t>工作作风提升：按照新时代科技管理服务工作的新形势、新内涵和新要求，建立健全目标责任考核机制和监督约束机制，强化岗位职责，增强服务意识，坚持谋实事、出实招、求实效，把久久为功和钉钉子精神有机结合，勇于攻坚克难，做实做细做好各项工作。</w:t>
            </w:r>
          </w:p>
          <w:p>
            <w:pPr>
              <w:keepNext/>
              <w:spacing w:line="400" w:lineRule="exact"/>
              <w:ind w:firstLine="480" w:firstLineChars="200"/>
              <w:jc w:val="left"/>
              <w:rPr>
                <w:color w:val="auto"/>
              </w:rPr>
            </w:pPr>
            <w:r>
              <w:rPr>
                <w:rFonts w:hint="eastAsia" w:ascii="宋体" w:hAnsi="宋体" w:eastAsia="宋体" w:cs="宋体"/>
                <w:bCs/>
                <w:color w:val="auto"/>
                <w:sz w:val="24"/>
                <w:shd w:val="clear" w:color="auto" w:fill="FFFFFF"/>
              </w:rPr>
              <w:t>业务能力提升：加强自身学习，不断提升干部在科技创新政策解读、科技领域法律法规、成果转移转化模式探索等方面的能力。建立科技管理人员培训长效机制。建立科技管理人员轮岗交流机制，根据工作需要实行管理人员内部定期轮岗制度。选派优秀的管理人员到基层、企业等挂职锻炼，丰富工作经历，提升工作能力，拓宽晋升渠道。选派优秀的管理人员出国交流学习，拓展科技管理干部的国际化视野。开展对企业和基层一线科技管理人员业务能力培训。</w:t>
            </w:r>
          </w:p>
        </w:tc>
      </w:tr>
      <w:bookmarkEnd w:id="445"/>
    </w:tbl>
    <w:p>
      <w:pPr>
        <w:pStyle w:val="4"/>
        <w:spacing w:line="560" w:lineRule="exact"/>
        <w:rPr>
          <w:color w:val="auto"/>
        </w:rPr>
      </w:pPr>
      <w:bookmarkStart w:id="449" w:name="_Toc67060807"/>
      <w:bookmarkStart w:id="450" w:name="_Toc20379"/>
      <w:bookmarkStart w:id="451" w:name="_Toc65437889"/>
      <w:bookmarkStart w:id="452" w:name="_Toc65239476"/>
      <w:bookmarkStart w:id="453" w:name="_Toc71836011"/>
      <w:bookmarkStart w:id="454" w:name="_Toc65350383"/>
      <w:bookmarkStart w:id="455" w:name="_Toc65241459"/>
      <w:r>
        <w:rPr>
          <w:rFonts w:hint="eastAsia"/>
          <w:color w:val="auto"/>
        </w:rPr>
        <w:t>第二节 聚集科技创新人才</w:t>
      </w:r>
      <w:bookmarkEnd w:id="449"/>
      <w:bookmarkEnd w:id="450"/>
      <w:bookmarkEnd w:id="451"/>
      <w:bookmarkEnd w:id="452"/>
      <w:bookmarkEnd w:id="453"/>
      <w:bookmarkEnd w:id="454"/>
      <w:bookmarkEnd w:id="455"/>
    </w:p>
    <w:p>
      <w:pPr>
        <w:pStyle w:val="5"/>
        <w:spacing w:line="560" w:lineRule="exact"/>
        <w:ind w:firstLine="643"/>
        <w:rPr>
          <w:color w:val="auto"/>
        </w:rPr>
      </w:pPr>
      <w:bookmarkStart w:id="456" w:name="_Toc67060808"/>
      <w:bookmarkStart w:id="457" w:name="_Toc65437890"/>
      <w:bookmarkStart w:id="458" w:name="_Toc71836012"/>
      <w:r>
        <w:rPr>
          <w:rFonts w:hint="eastAsia"/>
          <w:color w:val="auto"/>
        </w:rPr>
        <w:t>一、实施科技人才引育工程</w:t>
      </w:r>
      <w:bookmarkEnd w:id="456"/>
      <w:bookmarkEnd w:id="457"/>
      <w:bookmarkEnd w:id="458"/>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坚持人才引进和人才培育并重，采取柔性引进、项目引进、事业留人、专项资助引进等方式，吸引海内外高层次人才，引进重点领域紧缺人才，引导人才回归、项目回迁、技术回乡、智力回哺，推动人才链、创新链、技术链深度融合。在重点产业领域，支持安康学院与相关企业“共引共用”高端人才模式。</w:t>
      </w:r>
    </w:p>
    <w:p>
      <w:pPr>
        <w:pStyle w:val="5"/>
        <w:spacing w:line="560" w:lineRule="exact"/>
        <w:ind w:firstLine="643"/>
        <w:rPr>
          <w:color w:val="auto"/>
        </w:rPr>
      </w:pPr>
      <w:bookmarkStart w:id="459" w:name="_Toc71836013"/>
      <w:bookmarkStart w:id="460" w:name="_Toc65437891"/>
      <w:bookmarkStart w:id="461" w:name="_Toc67060809"/>
      <w:r>
        <w:rPr>
          <w:rFonts w:hint="eastAsia"/>
          <w:color w:val="auto"/>
        </w:rPr>
        <w:t>二、强化人才配套服务</w:t>
      </w:r>
      <w:bookmarkEnd w:id="459"/>
      <w:bookmarkEnd w:id="460"/>
      <w:bookmarkEnd w:id="461"/>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完善人才培训、交流、咨询、法律等配套服务，努力创造尊重知识、鼓励创新、宽容试错的用人环境。进一步推进人才公寓和科技创新平台建设，优化高层次人才引进的绿色通道，推进科技人才创新创业服务机构建设，努力提供功能齐全、标准规范、水平专业的一站式、全过程服务。落实高层次人才在居留、出入境、落户、资助、薪酬、医疗、社保、购房、税收、子女入学、配偶安置等方面的优惠政策和服务举措。对引进急需紧缺人才提供“一对一”服务。</w:t>
      </w:r>
    </w:p>
    <w:p>
      <w:pPr>
        <w:pStyle w:val="5"/>
        <w:spacing w:line="560" w:lineRule="exact"/>
        <w:ind w:firstLine="643"/>
        <w:rPr>
          <w:color w:val="auto"/>
        </w:rPr>
      </w:pPr>
      <w:bookmarkStart w:id="462" w:name="_Toc65437892"/>
      <w:bookmarkStart w:id="463" w:name="_Toc67060810"/>
      <w:bookmarkStart w:id="464" w:name="_Toc71836014"/>
      <w:r>
        <w:rPr>
          <w:rFonts w:hint="eastAsia"/>
          <w:color w:val="auto"/>
        </w:rPr>
        <w:t>三、构建阶梯式人才培养体系</w:t>
      </w:r>
      <w:bookmarkEnd w:id="462"/>
      <w:bookmarkEnd w:id="463"/>
      <w:bookmarkEnd w:id="464"/>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制定并出台相关配套政策。</w:t>
      </w:r>
      <w:r>
        <w:rPr>
          <w:rFonts w:hint="eastAsia" w:eastAsia="仿宋_GB2312"/>
          <w:color w:val="auto"/>
          <w:szCs w:val="32"/>
        </w:rPr>
        <w:t>支持安康学院、安康职业技术学院等高校与企业联合招生、开展联合培养试点，实行“订单式”</w:t>
      </w:r>
      <w:r>
        <w:rPr>
          <w:rFonts w:hint="eastAsia" w:eastAsia="仿宋_GB2312"/>
          <w:color w:val="auto"/>
          <w:szCs w:val="32"/>
          <w:lang w:eastAsia="zh-CN"/>
        </w:rPr>
        <w:t>“</w:t>
      </w:r>
      <w:r>
        <w:rPr>
          <w:rFonts w:hint="eastAsia" w:eastAsia="仿宋_GB2312"/>
          <w:color w:val="auto"/>
          <w:szCs w:val="32"/>
        </w:rPr>
        <w:t>双导师制</w:t>
      </w:r>
      <w:r>
        <w:rPr>
          <w:rFonts w:hint="eastAsia" w:eastAsia="仿宋_GB2312"/>
          <w:color w:val="auto"/>
          <w:szCs w:val="32"/>
          <w:lang w:eastAsia="zh-CN"/>
        </w:rPr>
        <w:t>”</w:t>
      </w:r>
      <w:r>
        <w:rPr>
          <w:rFonts w:hint="eastAsia" w:eastAsia="仿宋_GB2312"/>
          <w:color w:val="auto"/>
          <w:szCs w:val="32"/>
        </w:rPr>
        <w:t>培养模式，为企业、产业培养紧缺人才。扶持企业培育“安康工匠”群体，逐步建立企业家与职业经理人培育机制。完善引进高层次人才奖补资金管理办法，用于对各类平台引进高层次人才进行资助，对引才工作成绩突出的团体或平台实施奖补。</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统筹安康市各类人</w:t>
      </w:r>
      <w:r>
        <w:rPr>
          <w:rFonts w:hint="eastAsia" w:ascii="仿宋_GB2312" w:hAnsi="仿宋_GB2312" w:eastAsia="仿宋_GB2312" w:cs="仿宋_GB2312"/>
          <w:b/>
          <w:bCs/>
          <w:color w:val="auto"/>
          <w:szCs w:val="32"/>
          <w:lang w:eastAsia="zh-CN"/>
        </w:rPr>
        <w:t>才</w:t>
      </w:r>
      <w:r>
        <w:rPr>
          <w:rFonts w:hint="eastAsia" w:ascii="仿宋_GB2312" w:hAnsi="仿宋_GB2312" w:eastAsia="仿宋_GB2312" w:cs="仿宋_GB2312"/>
          <w:b/>
          <w:bCs/>
          <w:color w:val="auto"/>
          <w:szCs w:val="32"/>
        </w:rPr>
        <w:t>计划和项目。</w:t>
      </w:r>
      <w:r>
        <w:rPr>
          <w:rFonts w:hint="eastAsia" w:eastAsia="仿宋_GB2312"/>
          <w:color w:val="auto"/>
          <w:szCs w:val="32"/>
        </w:rPr>
        <w:t>完善人才培养管理体系，开展中青年创新人才队伍培养，突出富硒产业、旅游康养、新型材料等领域科技创新人才培养。联合省内外企业、高校、科研院所建设具有先进水平的新型教育、科研机构，建立订单式人才培养模式，开展校企联合招生、联合培养，培育本土化创新创业人才梯队。</w:t>
      </w:r>
    </w:p>
    <w:p>
      <w:pPr>
        <w:pStyle w:val="5"/>
        <w:spacing w:line="560" w:lineRule="exact"/>
        <w:ind w:firstLine="643"/>
        <w:rPr>
          <w:color w:val="auto"/>
        </w:rPr>
      </w:pPr>
      <w:bookmarkStart w:id="465" w:name="_Toc65437893"/>
      <w:bookmarkStart w:id="466" w:name="_Toc71836015"/>
      <w:bookmarkStart w:id="467" w:name="_Toc67060811"/>
      <w:r>
        <w:rPr>
          <w:rFonts w:hint="eastAsia"/>
          <w:color w:val="auto"/>
        </w:rPr>
        <w:t>四、加大科技人才选任力度</w:t>
      </w:r>
      <w:bookmarkEnd w:id="465"/>
      <w:bookmarkEnd w:id="466"/>
      <w:bookmarkEnd w:id="467"/>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加</w:t>
      </w:r>
      <w:r>
        <w:rPr>
          <w:rFonts w:hint="eastAsia" w:ascii="仿宋_GB2312" w:hAnsi="仿宋_GB2312" w:eastAsia="仿宋_GB2312" w:cs="仿宋_GB2312"/>
          <w:color w:val="auto"/>
          <w:szCs w:val="32"/>
        </w:rPr>
        <w:t>大对产业发展指导员队伍选拔、任用力度，挖掘、培育乡土科技人才、土专家，服务特色主导产业。建立科技特派员科研项目申报绿色通道，打造科技特派员创业平台，推动科技特派员创业与技术服务领域向二、三产业延伸。“十四五”期间累计科技特派员4000人次以上</w:t>
      </w:r>
      <w:r>
        <w:rPr>
          <w:rFonts w:hint="eastAsia" w:eastAsia="仿宋_GB2312"/>
          <w:color w:val="auto"/>
          <w:szCs w:val="32"/>
        </w:rPr>
        <w:t>，全面提升县级科技特派员工作成效，保持科技特派员镇村全覆盖。</w:t>
      </w:r>
    </w:p>
    <w:p>
      <w:pPr>
        <w:pStyle w:val="5"/>
        <w:spacing w:line="560" w:lineRule="exact"/>
        <w:ind w:firstLine="643"/>
        <w:rPr>
          <w:color w:val="auto"/>
        </w:rPr>
      </w:pPr>
      <w:bookmarkStart w:id="468" w:name="_Toc67060812"/>
      <w:bookmarkStart w:id="469" w:name="_Toc71836016"/>
      <w:bookmarkStart w:id="470" w:name="_Toc65437888"/>
      <w:r>
        <w:rPr>
          <w:rFonts w:hint="eastAsia"/>
          <w:color w:val="auto"/>
        </w:rPr>
        <w:t>五、完善</w:t>
      </w:r>
      <w:r>
        <w:rPr>
          <w:color w:val="auto"/>
        </w:rPr>
        <w:t>人才评价和激励机制</w:t>
      </w:r>
      <w:bookmarkEnd w:id="468"/>
      <w:bookmarkEnd w:id="469"/>
    </w:p>
    <w:tbl>
      <w:tblPr>
        <w:tblStyle w:val="24"/>
        <w:tblpPr w:leftFromText="180" w:rightFromText="180" w:vertAnchor="text" w:horzAnchor="page" w:tblpXSpec="center" w:tblpY="4539"/>
        <w:tblOverlap w:val="never"/>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504" w:type="dxa"/>
            <w:shd w:val="clear" w:color="auto" w:fill="auto"/>
          </w:tcPr>
          <w:p>
            <w:pPr>
              <w:pStyle w:val="8"/>
              <w:keepNext/>
              <w:spacing w:line="400" w:lineRule="exact"/>
              <w:jc w:val="center"/>
              <w:rPr>
                <w:rFonts w:cs="仿宋_GB2312" w:asciiTheme="minorEastAsia" w:hAnsiTheme="minorEastAsia" w:eastAsiaTheme="minorEastAsia"/>
                <w:b/>
                <w:bCs/>
                <w:color w:val="auto"/>
                <w:sz w:val="24"/>
                <w:szCs w:val="24"/>
              </w:rPr>
            </w:pPr>
            <w:bookmarkStart w:id="471" w:name="_Toc75529325"/>
            <w:bookmarkStart w:id="472" w:name="_Toc65439644"/>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9</w:t>
            </w:r>
            <w:r>
              <w:rPr>
                <w:rFonts w:cs="仿宋" w:asciiTheme="minorEastAsia" w:hAnsiTheme="minorEastAsia" w:eastAsiaTheme="minorEastAsia"/>
                <w:b/>
                <w:color w:val="auto"/>
                <w:sz w:val="24"/>
                <w:szCs w:val="24"/>
              </w:rPr>
              <w:fldChar w:fldCharType="end"/>
            </w:r>
            <w:r>
              <w:rPr>
                <w:rFonts w:hint="eastAsia" w:cs="仿宋" w:asciiTheme="minorEastAsia" w:hAnsiTheme="minorEastAsia" w:eastAsiaTheme="minorEastAsia"/>
                <w:b/>
                <w:color w:val="auto"/>
                <w:sz w:val="24"/>
                <w:szCs w:val="24"/>
              </w:rPr>
              <w:t xml:space="preserve"> </w:t>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科技人才引育工程</w:t>
            </w:r>
            <w:bookmarkEnd w:id="471"/>
            <w:bookmarkEnd w:id="4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8504" w:type="dxa"/>
            <w:shd w:val="clear" w:color="auto" w:fill="auto"/>
          </w:tcPr>
          <w:p>
            <w:pPr>
              <w:keepNext/>
              <w:spacing w:line="40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1.全市R&amp;D人员数量达到2600人，万人研究与试验发展（R&amp;D）人员数达到7人年；</w:t>
            </w:r>
          </w:p>
          <w:p>
            <w:pPr>
              <w:keepNext/>
              <w:spacing w:line="40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2.柔性引进高层次科技人才100名；</w:t>
            </w:r>
          </w:p>
          <w:p>
            <w:pPr>
              <w:keepNext/>
              <w:spacing w:line="40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3.累计选派科技特派员4000人次；</w:t>
            </w:r>
          </w:p>
          <w:p>
            <w:pPr>
              <w:keepNext/>
              <w:spacing w:line="400" w:lineRule="exact"/>
              <w:ind w:firstLine="480" w:firstLineChars="200"/>
              <w:jc w:val="left"/>
              <w:rPr>
                <w:rFonts w:ascii="宋体" w:hAnsi="宋体"/>
                <w:color w:val="auto"/>
                <w:sz w:val="24"/>
                <w:szCs w:val="24"/>
              </w:rPr>
            </w:pPr>
            <w:r>
              <w:rPr>
                <w:rFonts w:hint="eastAsia" w:ascii="宋体" w:hAnsi="宋体" w:eastAsia="宋体" w:cs="宋体"/>
                <w:bCs/>
                <w:color w:val="auto"/>
                <w:sz w:val="24"/>
                <w:szCs w:val="24"/>
              </w:rPr>
              <w:t>4.培育中青年科技创新人才10名，科技创新创业领军人才10名，青年科技新星5名，青年拔尖人才5名，科技创新团队5个。</w:t>
            </w:r>
          </w:p>
        </w:tc>
      </w:tr>
    </w:tbl>
    <w:p>
      <w:pPr>
        <w:snapToGrid w:val="0"/>
        <w:spacing w:line="560" w:lineRule="exact"/>
        <w:ind w:firstLine="640" w:firstLineChars="200"/>
        <w:rPr>
          <w:rFonts w:hint="eastAsia" w:eastAsia="仿宋_GB2312"/>
          <w:color w:val="auto"/>
          <w:szCs w:val="32"/>
        </w:rPr>
      </w:pPr>
      <w:r>
        <w:rPr>
          <w:rFonts w:hint="eastAsia" w:eastAsia="仿宋_GB2312"/>
          <w:color w:val="auto"/>
          <w:szCs w:val="32"/>
        </w:rPr>
        <w:t>建立科技人才分类评价制度，突出能力业绩导向，按所从事技术研究、应用研究、成果转化等工作性质不同，在职称评价、收入分配等方面区别对待，重点向关键岗位、业务骨干和作出突出贡献的人员予以倾斜，对行业领军人才和做出突出贡献的人才给予奖励。坚持按劳分配和生产要素参与分配的原则，鼓励科技人员以技术、成果入股，对企业经营者和科技骨干实行年薪制，通过奖励企业股权、期权等，调动各类人才创新创业积极性。</w:t>
      </w:r>
      <w:bookmarkEnd w:id="470"/>
    </w:p>
    <w:p>
      <w:pPr>
        <w:pStyle w:val="4"/>
        <w:spacing w:line="560" w:lineRule="exact"/>
        <w:rPr>
          <w:color w:val="auto"/>
        </w:rPr>
      </w:pPr>
      <w:bookmarkStart w:id="473" w:name="_Toc71836017"/>
      <w:bookmarkStart w:id="474" w:name="_Toc65437894"/>
      <w:bookmarkStart w:id="475" w:name="_Toc19009"/>
      <w:bookmarkStart w:id="476" w:name="_Toc67060813"/>
      <w:r>
        <w:rPr>
          <w:rFonts w:hint="eastAsia"/>
          <w:color w:val="auto"/>
        </w:rPr>
        <w:t>第三节 推动科技金融融合</w:t>
      </w:r>
      <w:bookmarkEnd w:id="473"/>
      <w:bookmarkEnd w:id="474"/>
      <w:bookmarkEnd w:id="475"/>
      <w:bookmarkEnd w:id="476"/>
    </w:p>
    <w:p>
      <w:pPr>
        <w:pStyle w:val="5"/>
        <w:spacing w:line="560" w:lineRule="exact"/>
        <w:ind w:firstLine="643"/>
        <w:rPr>
          <w:color w:val="auto"/>
        </w:rPr>
      </w:pPr>
      <w:bookmarkStart w:id="477" w:name="_Toc67060814"/>
      <w:bookmarkStart w:id="478" w:name="_Toc65437895"/>
      <w:bookmarkStart w:id="479" w:name="_Toc71836018"/>
      <w:r>
        <w:rPr>
          <w:rFonts w:hint="eastAsia"/>
          <w:color w:val="auto"/>
        </w:rPr>
        <w:t>一、加大科技产业发展基金规模</w:t>
      </w:r>
      <w:bookmarkEnd w:id="477"/>
      <w:bookmarkEnd w:id="478"/>
      <w:bookmarkEnd w:id="479"/>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加大对科技企业金融支持力度，深化科技与金融结合模式，在“安康市循环产业科技创新基金”和“安康贫困地区科技产业发展基金”的基础上，继续探索实践中、省、市、县四级联合创立产业基金模式，加大科技产业基金数量和规模，解决企业融资难题。探索“科技创新券”“信用贷款保障”等资助方式，推进“科技贷”惠及更多科技型中小企业，促进技术要素与资本要素深度融合，助力科技型中小企业快速成长。</w:t>
      </w:r>
    </w:p>
    <w:p>
      <w:pPr>
        <w:pStyle w:val="5"/>
        <w:spacing w:line="560" w:lineRule="exact"/>
        <w:ind w:firstLine="643"/>
        <w:rPr>
          <w:color w:val="auto"/>
        </w:rPr>
      </w:pPr>
      <w:bookmarkStart w:id="480" w:name="_Toc67060815"/>
      <w:bookmarkStart w:id="481" w:name="_Toc65437896"/>
      <w:bookmarkStart w:id="482" w:name="_Toc71836019"/>
      <w:r>
        <w:rPr>
          <w:rFonts w:hint="eastAsia"/>
          <w:color w:val="auto"/>
        </w:rPr>
        <w:t>二、拓宽科技企业上市融资渠道</w:t>
      </w:r>
      <w:bookmarkEnd w:id="480"/>
      <w:bookmarkEnd w:id="481"/>
      <w:bookmarkEnd w:id="482"/>
    </w:p>
    <w:p>
      <w:pPr>
        <w:snapToGrid w:val="0"/>
        <w:spacing w:line="560" w:lineRule="exact"/>
        <w:ind w:firstLine="640" w:firstLineChars="200"/>
        <w:rPr>
          <w:rFonts w:hint="eastAsia" w:eastAsia="仿宋_GB2312"/>
          <w:color w:val="auto"/>
          <w:szCs w:val="32"/>
        </w:rPr>
      </w:pPr>
      <w:r>
        <w:rPr>
          <w:rFonts w:hint="eastAsia" w:eastAsia="仿宋_GB2312"/>
          <w:color w:val="auto"/>
          <w:szCs w:val="32"/>
        </w:rPr>
        <w:t>以共建产业基金为契机，把安康的资源优势、产业优势与国投创益产业基金公司的产业金融、资本运作、产销对接、现代农业、资源开发、清洁能源、医疗健康七大产业扶贫平台相结合，依托央企的平台优势、资源优势和人才优势，链接全国大型产业集团、高成长性科技企业，吸引科技产业资源，推动科技创新和成果转化。支持企业利用多层次资本市场实现上市和挂牌，扩大科技企业融资规模。发挥资本市场的独特作用，鼓励、支持、培育一批高新技术企业和科创板上市企业，“十四五”末实现上市企</w:t>
      </w:r>
      <w:r>
        <w:rPr>
          <w:rFonts w:hint="eastAsia" w:ascii="仿宋_GB2312" w:hAnsi="仿宋_GB2312" w:eastAsia="仿宋_GB2312" w:cs="仿宋_GB2312"/>
          <w:color w:val="auto"/>
          <w:szCs w:val="32"/>
        </w:rPr>
        <w:t>业2家</w:t>
      </w:r>
      <w:r>
        <w:rPr>
          <w:rFonts w:hint="eastAsia" w:eastAsia="仿宋_GB2312"/>
          <w:color w:val="auto"/>
          <w:szCs w:val="32"/>
        </w:rPr>
        <w:t>以上。</w:t>
      </w:r>
    </w:p>
    <w:p>
      <w:pPr>
        <w:pStyle w:val="5"/>
        <w:spacing w:line="560" w:lineRule="exact"/>
        <w:ind w:firstLine="643"/>
        <w:rPr>
          <w:color w:val="auto"/>
        </w:rPr>
      </w:pPr>
      <w:bookmarkStart w:id="483" w:name="_Toc65437897"/>
      <w:bookmarkStart w:id="484" w:name="_Toc71836020"/>
      <w:bookmarkStart w:id="485" w:name="_Toc67060816"/>
      <w:r>
        <w:rPr>
          <w:rFonts w:hint="eastAsia"/>
          <w:color w:val="auto"/>
        </w:rPr>
        <w:t>三、构建科技金融服务体系</w:t>
      </w:r>
      <w:bookmarkEnd w:id="483"/>
      <w:bookmarkEnd w:id="484"/>
      <w:bookmarkEnd w:id="485"/>
    </w:p>
    <w:p>
      <w:pPr>
        <w:snapToGrid w:val="0"/>
        <w:spacing w:line="560" w:lineRule="exact"/>
        <w:ind w:firstLine="640" w:firstLineChars="200"/>
        <w:rPr>
          <w:rFonts w:hint="eastAsia" w:eastAsia="仿宋_GB2312"/>
          <w:color w:val="auto"/>
          <w:szCs w:val="32"/>
        </w:rPr>
      </w:pPr>
      <w:r>
        <w:rPr>
          <w:rFonts w:hint="eastAsia" w:eastAsia="仿宋_GB2312"/>
          <w:color w:val="auto"/>
          <w:szCs w:val="32"/>
        </w:rPr>
        <w:t>加大与金融机构合作力度，签订《科技金融战略合作协议》，围绕科技金融政策落地、创新科技金融产品、深化科技金融服务等方面开展探索，以投贷联动、无还本续贷、专利质押贷款等方式，推动金融、科技、产业深度融合，助推科技型企业和实体经济高质量发展。积极发挥财政资金引导和杠杆作用，建立产业发展基金、科技创新基金和风险投资基金，促进众筹、众创、众包、众扶与金融有效嫁接。推进科技融资担保业务，设立科技融资担保风险资金池，为高新技术企业、科技型中小企业、科技企业孵化器在孵企业提供贷款融资担保。</w:t>
      </w:r>
    </w:p>
    <w:tbl>
      <w:tblPr>
        <w:tblStyle w:val="24"/>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080" w:type="dxa"/>
            <w:shd w:val="clear" w:color="auto" w:fill="auto"/>
          </w:tcPr>
          <w:p>
            <w:pPr>
              <w:pStyle w:val="8"/>
              <w:keepNext/>
              <w:spacing w:line="400" w:lineRule="exact"/>
              <w:jc w:val="center"/>
              <w:rPr>
                <w:rFonts w:asciiTheme="minorEastAsia" w:hAnsiTheme="minorEastAsia" w:eastAsiaTheme="minorEastAsia"/>
                <w:b/>
                <w:bCs/>
                <w:color w:val="auto"/>
                <w:sz w:val="28"/>
                <w:szCs w:val="28"/>
              </w:rPr>
            </w:pPr>
            <w:bookmarkStart w:id="486" w:name="_Toc65439645"/>
            <w:bookmarkStart w:id="487" w:name="_Toc75529326"/>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10</w:t>
            </w:r>
            <w:r>
              <w:rPr>
                <w:rFonts w:cs="仿宋" w:asciiTheme="minorEastAsia" w:hAnsiTheme="minorEastAsia" w:eastAsiaTheme="minorEastAsia"/>
                <w:b/>
                <w:color w:val="auto"/>
                <w:sz w:val="24"/>
                <w:szCs w:val="24"/>
              </w:rPr>
              <w:fldChar w:fldCharType="end"/>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科技金融融</w:t>
            </w:r>
            <w:r>
              <w:rPr>
                <w:rFonts w:cs="仿宋" w:asciiTheme="minorEastAsia" w:hAnsiTheme="minorEastAsia" w:eastAsiaTheme="minorEastAsia"/>
                <w:b/>
                <w:color w:val="auto"/>
                <w:sz w:val="24"/>
                <w:szCs w:val="24"/>
              </w:rPr>
              <w:t>合工程</w:t>
            </w:r>
            <w:bookmarkEnd w:id="486"/>
            <w:bookmarkEnd w:id="4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8" w:hRule="atLeast"/>
          <w:jc w:val="center"/>
        </w:trPr>
        <w:tc>
          <w:tcPr>
            <w:tcW w:w="8080" w:type="dxa"/>
            <w:shd w:val="clear" w:color="auto" w:fill="auto"/>
          </w:tcPr>
          <w:p>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1.加大“安康市循环产业科技创新基金”和“安康贫困地区科技产业发展基金”资金规模。</w:t>
            </w:r>
          </w:p>
          <w:p>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2.积极探索“科技创新券”“信用贷款保障”“科技贷”等资助方式。</w:t>
            </w:r>
          </w:p>
          <w:p>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3.积极与各大国有银行安康分行等金融机构签订《科技金融战略合作协议》。</w:t>
            </w:r>
          </w:p>
          <w:p>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4.培育一批高新技术企业在科创板上市。</w:t>
            </w:r>
          </w:p>
          <w:p>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5.推进科技融资担保业务，设立科技融资担保风险资金池。</w:t>
            </w:r>
          </w:p>
          <w:p>
            <w:pPr>
              <w:keepNext/>
              <w:spacing w:line="400" w:lineRule="exact"/>
              <w:ind w:firstLine="480" w:firstLineChars="200"/>
              <w:jc w:val="left"/>
              <w:rPr>
                <w:rFonts w:asciiTheme="minorEastAsia" w:hAnsiTheme="minorEastAsia" w:eastAsiaTheme="minorEastAsia"/>
                <w:color w:val="auto"/>
                <w:szCs w:val="21"/>
              </w:rPr>
            </w:pPr>
            <w:r>
              <w:rPr>
                <w:rFonts w:hint="eastAsia" w:ascii="宋体" w:hAnsi="宋体" w:eastAsia="宋体" w:cs="宋体"/>
                <w:color w:val="auto"/>
                <w:sz w:val="24"/>
                <w:szCs w:val="24"/>
              </w:rPr>
              <w:t>6.设立专业化、市场化的科技产业基金5支，基金总规模10亿元，到位资金总额6亿元。</w:t>
            </w:r>
          </w:p>
        </w:tc>
      </w:tr>
    </w:tbl>
    <w:p>
      <w:pPr>
        <w:pStyle w:val="4"/>
        <w:spacing w:line="560" w:lineRule="exact"/>
        <w:rPr>
          <w:color w:val="auto"/>
        </w:rPr>
      </w:pPr>
      <w:bookmarkStart w:id="488" w:name="_Toc65350385"/>
      <w:bookmarkStart w:id="489" w:name="_Toc71836021"/>
      <w:bookmarkStart w:id="490" w:name="_Toc67060817"/>
      <w:bookmarkStart w:id="491" w:name="_Toc17725"/>
      <w:bookmarkStart w:id="492" w:name="_Toc65437899"/>
      <w:r>
        <w:rPr>
          <w:rFonts w:hint="eastAsia"/>
          <w:color w:val="auto"/>
        </w:rPr>
        <w:t xml:space="preserve">第四节 </w:t>
      </w:r>
      <w:bookmarkStart w:id="493" w:name="_Toc1882"/>
      <w:r>
        <w:rPr>
          <w:rFonts w:hint="eastAsia"/>
          <w:color w:val="auto"/>
        </w:rPr>
        <w:t>加强区域创新协同</w:t>
      </w:r>
      <w:bookmarkEnd w:id="488"/>
      <w:bookmarkEnd w:id="489"/>
      <w:bookmarkEnd w:id="490"/>
      <w:bookmarkEnd w:id="491"/>
      <w:bookmarkEnd w:id="492"/>
      <w:bookmarkEnd w:id="493"/>
    </w:p>
    <w:p>
      <w:pPr>
        <w:snapToGrid w:val="0"/>
        <w:spacing w:line="560" w:lineRule="exact"/>
        <w:ind w:firstLine="640" w:firstLineChars="200"/>
        <w:rPr>
          <w:rFonts w:hint="eastAsia" w:eastAsia="仿宋_GB2312"/>
          <w:color w:val="auto"/>
          <w:szCs w:val="32"/>
        </w:rPr>
      </w:pPr>
      <w:r>
        <w:rPr>
          <w:rFonts w:hint="eastAsia" w:eastAsia="仿宋_GB2312"/>
          <w:color w:val="auto"/>
          <w:szCs w:val="32"/>
        </w:rPr>
        <w:t>结合安康科技资源统筹共享服务平台、秦创原安康创新飞地孵化园建设，建立健全多领域、多层次、多元化的合作机制，充分释放“人才、资本、信息、技术”等创新要素活力，推动各级各类高新区、开发区、产业园对外开放合作。深入推进与江苏常州在科技帮扶项目、特色产业技术合作开发与应用、特色农产品品牌推广、专业技术人才培训输转等方面的沟通衔接。推动校企协同创新，支持企业与高等院校、科研院所开展技术合作，建设提升重点科研平台、创新创业平台及院士（专家）工作站等科研资源共享平台。支持企业和高校、科研院所组建富硒食品、生物医药、生态康养、新型材料、智能制造等产业技术创新联盟和知识产权联盟。推广“四主体一联合”创新模式，支持企业组建创新联合体，带动中小企业创新活动。建立创新型企业成长的持续推进机制和全程孵化体系，构建企业全生命周期梯度培育链条，培育一批高新技术企业、瞪羚企业和“单项冠军”企业。</w:t>
      </w:r>
    </w:p>
    <w:p>
      <w:pPr>
        <w:pStyle w:val="4"/>
        <w:spacing w:line="560" w:lineRule="exact"/>
        <w:rPr>
          <w:color w:val="auto"/>
        </w:rPr>
      </w:pPr>
      <w:bookmarkStart w:id="494" w:name="_Toc65437900"/>
      <w:bookmarkStart w:id="495" w:name="_Toc65350386"/>
      <w:bookmarkStart w:id="496" w:name="_Toc65241461"/>
      <w:bookmarkStart w:id="497" w:name="_Toc31990"/>
      <w:bookmarkStart w:id="498" w:name="_Toc65239478"/>
      <w:bookmarkStart w:id="499" w:name="_Toc67060818"/>
      <w:bookmarkStart w:id="500" w:name="_Toc71836022"/>
      <w:r>
        <w:rPr>
          <w:rFonts w:hint="eastAsia"/>
          <w:color w:val="auto"/>
        </w:rPr>
        <w:t>第五节 加速科技成果转化</w:t>
      </w:r>
      <w:bookmarkEnd w:id="494"/>
      <w:bookmarkEnd w:id="495"/>
      <w:bookmarkEnd w:id="496"/>
      <w:bookmarkEnd w:id="497"/>
      <w:bookmarkEnd w:id="498"/>
      <w:bookmarkEnd w:id="499"/>
      <w:bookmarkEnd w:id="500"/>
    </w:p>
    <w:p>
      <w:pPr>
        <w:spacing w:line="560" w:lineRule="exact"/>
        <w:ind w:firstLine="640" w:firstLineChars="200"/>
        <w:rPr>
          <w:rFonts w:ascii="仿宋" w:hAnsi="仿宋" w:cs="仿宋_GB2312"/>
          <w:color w:val="auto"/>
          <w:szCs w:val="32"/>
        </w:rPr>
      </w:pPr>
      <w:r>
        <w:rPr>
          <w:rFonts w:hint="eastAsia" w:eastAsia="仿宋_GB2312"/>
          <w:color w:val="auto"/>
          <w:szCs w:val="32"/>
        </w:rPr>
        <w:t>认真贯彻落实《国务院关于印发实施〈中华人民共和国促进科技成果转化法〉若干规定的通知》《陕西省促进科技成果转化条例》《陕西省优化创新创业生态着力提升技术成果转化能力行动</w:t>
      </w:r>
      <w:r>
        <w:rPr>
          <w:rFonts w:hint="eastAsia" w:ascii="仿宋_GB2312" w:hAnsi="仿宋_GB2312" w:eastAsia="仿宋_GB2312" w:cs="仿宋_GB2312"/>
          <w:color w:val="auto"/>
          <w:szCs w:val="32"/>
        </w:rPr>
        <w:t>方案（2021—2023年）》《安康市</w:t>
      </w:r>
      <w:r>
        <w:rPr>
          <w:rFonts w:hint="eastAsia" w:eastAsia="仿宋_GB2312"/>
          <w:color w:val="auto"/>
          <w:szCs w:val="32"/>
        </w:rPr>
        <w:t>促进科技成果转化实施办法》等文件精神，加快科技成果转移转化。</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加强对引进技术的消化、吸收和再创新</w:t>
      </w:r>
      <w:bookmarkStart w:id="501" w:name="_Hlk64922146"/>
      <w:r>
        <w:rPr>
          <w:rFonts w:hint="eastAsia" w:ascii="仿宋_GB2312" w:hAnsi="仿宋_GB2312" w:eastAsia="仿宋_GB2312" w:cs="仿宋_GB2312"/>
          <w:b/>
          <w:bCs/>
          <w:color w:val="auto"/>
          <w:szCs w:val="32"/>
        </w:rPr>
        <w:t>。</w:t>
      </w:r>
      <w:r>
        <w:rPr>
          <w:rFonts w:hint="eastAsia" w:eastAsia="仿宋_GB2312"/>
          <w:color w:val="auto"/>
          <w:szCs w:val="32"/>
        </w:rPr>
        <w:t>探索建立科技成果展示、技术评估、成果交易、科技金融、创业服务的市级技术市场，完善技术产权交易、知识产权交易、技术合同登记等各类平台功能，促进科技成果与资本的有效对接。</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深化以需求为导向的科技项目形成机制改革。</w:t>
      </w:r>
      <w:r>
        <w:rPr>
          <w:rFonts w:hint="eastAsia" w:eastAsia="仿宋_GB2312"/>
          <w:color w:val="auto"/>
          <w:szCs w:val="32"/>
        </w:rPr>
        <w:t>坚持以问题为导向、以需求为引领，建立“项目从需求中来，成果到应用中去”的管理模式，从源头上打通科技成果转移转化的“最先一公里”。</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壮大科技成果转移转化人才队伍。</w:t>
      </w:r>
      <w:r>
        <w:rPr>
          <w:rFonts w:hint="eastAsia" w:eastAsia="仿宋_GB2312"/>
          <w:color w:val="auto"/>
          <w:szCs w:val="32"/>
        </w:rPr>
        <w:t>广泛开展技术转移转化人才培养，支持科技成果转移转化人才队伍建设。</w:t>
      </w:r>
      <w:bookmarkEnd w:id="501"/>
      <w:r>
        <w:rPr>
          <w:rFonts w:hint="eastAsia" w:eastAsia="仿宋_GB2312"/>
          <w:color w:val="auto"/>
          <w:szCs w:val="32"/>
        </w:rPr>
        <w:t>发展科技中介服务机构，促进成果转化和技术转移。</w:t>
      </w:r>
    </w:p>
    <w:p>
      <w:pPr>
        <w:pStyle w:val="2"/>
        <w:rPr>
          <w:rFonts w:hint="eastAsia" w:eastAsia="仿宋_GB2312"/>
          <w:color w:val="auto"/>
          <w:szCs w:val="32"/>
        </w:rPr>
      </w:pPr>
    </w:p>
    <w:p>
      <w:pPr>
        <w:pStyle w:val="2"/>
        <w:rPr>
          <w:rFonts w:hint="eastAsia" w:eastAsia="仿宋_GB2312"/>
          <w:color w:val="auto"/>
          <w:szCs w:val="32"/>
        </w:rPr>
      </w:pPr>
    </w:p>
    <w:tbl>
      <w:tblPr>
        <w:tblStyle w:val="24"/>
        <w:tblpPr w:leftFromText="180" w:rightFromText="180" w:vertAnchor="text" w:horzAnchor="page" w:tblpXSpec="center" w:tblpY="91"/>
        <w:tblOverlap w:val="never"/>
        <w:tblW w:w="8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0" w:type="dxa"/>
            <w:shd w:val="clear" w:color="auto" w:fill="auto"/>
          </w:tcPr>
          <w:p>
            <w:pPr>
              <w:pStyle w:val="8"/>
              <w:keepNext/>
              <w:spacing w:line="400" w:lineRule="exact"/>
              <w:jc w:val="center"/>
              <w:rPr>
                <w:rFonts w:asciiTheme="minorEastAsia" w:hAnsiTheme="minorEastAsia" w:eastAsiaTheme="minorEastAsia"/>
                <w:b/>
                <w:bCs/>
                <w:color w:val="auto"/>
                <w:sz w:val="28"/>
                <w:szCs w:val="28"/>
              </w:rPr>
            </w:pPr>
            <w:bookmarkStart w:id="502" w:name="_Toc65439646"/>
            <w:bookmarkStart w:id="503" w:name="_Toc75529327"/>
            <w:r>
              <w:rPr>
                <w:rFonts w:cs="仿宋" w:asciiTheme="minorEastAsia" w:hAnsiTheme="minorEastAsia" w:eastAsiaTheme="minorEastAsia"/>
                <w:b/>
                <w:color w:val="auto"/>
                <w:sz w:val="24"/>
                <w:szCs w:val="24"/>
              </w:rPr>
              <w:t>专栏</w:t>
            </w:r>
            <w:r>
              <w:rPr>
                <w:rFonts w:cs="仿宋" w:asciiTheme="minorEastAsia" w:hAnsiTheme="minorEastAsia" w:eastAsiaTheme="minorEastAsia"/>
                <w:b/>
                <w:color w:val="auto"/>
                <w:sz w:val="24"/>
                <w:szCs w:val="24"/>
              </w:rPr>
              <w:fldChar w:fldCharType="begin"/>
            </w:r>
            <w:r>
              <w:rPr>
                <w:rFonts w:cs="仿宋" w:asciiTheme="minorEastAsia" w:hAnsiTheme="minorEastAsia" w:eastAsiaTheme="minorEastAsia"/>
                <w:b/>
                <w:color w:val="auto"/>
                <w:sz w:val="24"/>
                <w:szCs w:val="24"/>
              </w:rPr>
              <w:instrText xml:space="preserve"> SEQ 专栏 \* ARABIC </w:instrText>
            </w:r>
            <w:r>
              <w:rPr>
                <w:rFonts w:cs="仿宋" w:asciiTheme="minorEastAsia" w:hAnsiTheme="minorEastAsia" w:eastAsiaTheme="minorEastAsia"/>
                <w:b/>
                <w:color w:val="auto"/>
                <w:sz w:val="24"/>
                <w:szCs w:val="24"/>
              </w:rPr>
              <w:fldChar w:fldCharType="separate"/>
            </w:r>
            <w:r>
              <w:rPr>
                <w:rFonts w:cs="仿宋" w:asciiTheme="minorEastAsia" w:hAnsiTheme="minorEastAsia" w:eastAsiaTheme="minorEastAsia"/>
                <w:b/>
                <w:color w:val="auto"/>
                <w:sz w:val="24"/>
                <w:szCs w:val="24"/>
              </w:rPr>
              <w:t>11</w:t>
            </w:r>
            <w:r>
              <w:rPr>
                <w:rFonts w:cs="仿宋" w:asciiTheme="minorEastAsia" w:hAnsiTheme="minorEastAsia" w:eastAsiaTheme="minorEastAsia"/>
                <w:b/>
                <w:color w:val="auto"/>
                <w:sz w:val="24"/>
                <w:szCs w:val="24"/>
              </w:rPr>
              <w:fldChar w:fldCharType="end"/>
            </w:r>
            <w:r>
              <w:rPr>
                <w:rFonts w:hint="default" w:cs="仿宋" w:asciiTheme="minorEastAsia" w:hAnsiTheme="minorEastAsia" w:eastAsiaTheme="minorEastAsia"/>
                <w:b/>
                <w:color w:val="auto"/>
                <w:sz w:val="24"/>
                <w:szCs w:val="24"/>
                <w:lang w:val="en"/>
              </w:rPr>
              <w:t xml:space="preserve">  </w:t>
            </w:r>
            <w:r>
              <w:rPr>
                <w:rFonts w:hint="eastAsia" w:cs="仿宋" w:asciiTheme="minorEastAsia" w:hAnsiTheme="minorEastAsia" w:eastAsiaTheme="minorEastAsia"/>
                <w:b/>
                <w:color w:val="auto"/>
                <w:sz w:val="24"/>
                <w:szCs w:val="24"/>
              </w:rPr>
              <w:t>科技成果转化</w:t>
            </w:r>
            <w:r>
              <w:rPr>
                <w:rFonts w:cs="仿宋" w:asciiTheme="minorEastAsia" w:hAnsiTheme="minorEastAsia" w:eastAsiaTheme="minorEastAsia"/>
                <w:b/>
                <w:color w:val="auto"/>
                <w:sz w:val="24"/>
                <w:szCs w:val="24"/>
              </w:rPr>
              <w:t>工程</w:t>
            </w:r>
            <w:bookmarkEnd w:id="502"/>
            <w:bookmarkEnd w:id="5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0" w:type="dxa"/>
            <w:shd w:val="clear" w:color="auto" w:fill="auto"/>
          </w:tcPr>
          <w:p>
            <w:pPr>
              <w:spacing w:line="400" w:lineRule="exact"/>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.建立健全成果</w:t>
            </w:r>
            <w:r>
              <w:rPr>
                <w:rFonts w:hint="eastAsia" w:asciiTheme="minorEastAsia" w:hAnsiTheme="minorEastAsia" w:eastAsiaTheme="minorEastAsia"/>
                <w:color w:val="auto"/>
                <w:sz w:val="24"/>
                <w:szCs w:val="24"/>
              </w:rPr>
              <w:t>转移</w:t>
            </w:r>
            <w:r>
              <w:rPr>
                <w:rFonts w:asciiTheme="minorEastAsia" w:hAnsiTheme="minorEastAsia" w:eastAsiaTheme="minorEastAsia"/>
                <w:color w:val="auto"/>
                <w:sz w:val="24"/>
                <w:szCs w:val="24"/>
              </w:rPr>
              <w:t>转化平台体系，推动项目、技术、人才、资金一体化配置，着力打通成果转移转化通道。</w:t>
            </w:r>
          </w:p>
          <w:p>
            <w:pPr>
              <w:spacing w:line="400" w:lineRule="exact"/>
              <w:ind w:firstLine="480" w:firstLineChars="20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加强引进技术成果的消化、吸收和再创新，做好引进</w:t>
            </w:r>
            <w:r>
              <w:rPr>
                <w:rFonts w:asciiTheme="minorEastAsia" w:hAnsiTheme="minorEastAsia" w:eastAsiaTheme="minorEastAsia"/>
                <w:color w:val="auto"/>
                <w:sz w:val="24"/>
                <w:szCs w:val="24"/>
              </w:rPr>
              <w:t>成果的</w:t>
            </w:r>
            <w:r>
              <w:rPr>
                <w:rFonts w:hint="eastAsia" w:asciiTheme="minorEastAsia" w:hAnsiTheme="minorEastAsia" w:eastAsiaTheme="minorEastAsia"/>
                <w:color w:val="auto"/>
                <w:sz w:val="24"/>
                <w:szCs w:val="24"/>
              </w:rPr>
              <w:t>试验</w:t>
            </w:r>
            <w:r>
              <w:rPr>
                <w:rFonts w:asciiTheme="minorEastAsia" w:hAnsiTheme="minorEastAsia" w:eastAsiaTheme="minorEastAsia"/>
                <w:color w:val="auto"/>
                <w:sz w:val="24"/>
                <w:szCs w:val="24"/>
              </w:rPr>
              <w:t>示范</w:t>
            </w:r>
            <w:r>
              <w:rPr>
                <w:rFonts w:hint="eastAsia" w:asciiTheme="minorEastAsia" w:hAnsiTheme="minorEastAsia" w:eastAsiaTheme="minorEastAsia"/>
                <w:color w:val="auto"/>
                <w:sz w:val="24"/>
                <w:szCs w:val="24"/>
              </w:rPr>
              <w:t>（中试）、</w:t>
            </w:r>
            <w:r>
              <w:rPr>
                <w:rFonts w:asciiTheme="minorEastAsia" w:hAnsiTheme="minorEastAsia" w:eastAsiaTheme="minorEastAsia"/>
                <w:color w:val="auto"/>
                <w:sz w:val="24"/>
                <w:szCs w:val="24"/>
              </w:rPr>
              <w:t>集成</w:t>
            </w:r>
            <w:r>
              <w:rPr>
                <w:rFonts w:hint="eastAsia" w:asciiTheme="minorEastAsia" w:hAnsiTheme="minorEastAsia" w:eastAsiaTheme="minorEastAsia"/>
                <w:color w:val="auto"/>
                <w:sz w:val="24"/>
                <w:szCs w:val="24"/>
              </w:rPr>
              <w:t>配套和</w:t>
            </w:r>
            <w:r>
              <w:rPr>
                <w:rFonts w:asciiTheme="minorEastAsia" w:hAnsiTheme="minorEastAsia" w:eastAsiaTheme="minorEastAsia"/>
                <w:color w:val="auto"/>
                <w:sz w:val="24"/>
                <w:szCs w:val="24"/>
              </w:rPr>
              <w:t>应用</w:t>
            </w:r>
            <w:r>
              <w:rPr>
                <w:rFonts w:hint="eastAsia" w:asciiTheme="minorEastAsia" w:hAnsiTheme="minorEastAsia" w:eastAsiaTheme="minorEastAsia"/>
                <w:color w:val="auto"/>
                <w:sz w:val="24"/>
                <w:szCs w:val="24"/>
              </w:rPr>
              <w:t>推广，发挥</w:t>
            </w:r>
            <w:r>
              <w:rPr>
                <w:rFonts w:asciiTheme="minorEastAsia" w:hAnsiTheme="minorEastAsia" w:eastAsiaTheme="minorEastAsia"/>
                <w:color w:val="auto"/>
                <w:sz w:val="24"/>
                <w:szCs w:val="24"/>
              </w:rPr>
              <w:t>互联网</w:t>
            </w: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科技</w:t>
            </w:r>
            <w:r>
              <w:rPr>
                <w:rFonts w:hint="eastAsia" w:asciiTheme="minorEastAsia" w:hAnsiTheme="minorEastAsia" w:eastAsiaTheme="minorEastAsia"/>
                <w:color w:val="auto"/>
                <w:sz w:val="24"/>
                <w:szCs w:val="24"/>
              </w:rPr>
              <w:t>成果</w:t>
            </w:r>
            <w:r>
              <w:rPr>
                <w:rFonts w:asciiTheme="minorEastAsia" w:hAnsiTheme="minorEastAsia" w:eastAsiaTheme="minorEastAsia"/>
                <w:color w:val="auto"/>
                <w:sz w:val="24"/>
                <w:szCs w:val="24"/>
              </w:rPr>
              <w:t>扩散</w:t>
            </w:r>
            <w:r>
              <w:rPr>
                <w:rFonts w:hint="eastAsia" w:asciiTheme="minorEastAsia" w:hAnsiTheme="minorEastAsia" w:eastAsiaTheme="minorEastAsia"/>
                <w:color w:val="auto"/>
                <w:sz w:val="24"/>
                <w:szCs w:val="24"/>
              </w:rPr>
              <w:t>中</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作用。</w:t>
            </w:r>
          </w:p>
          <w:p>
            <w:pPr>
              <w:spacing w:line="400" w:lineRule="exact"/>
              <w:ind w:firstLine="480" w:firstLineChars="20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壮大科技成果转移转化人才队伍，积极开展技术转移转化人员培训工作。</w:t>
            </w:r>
          </w:p>
          <w:p>
            <w:pPr>
              <w:spacing w:line="400" w:lineRule="exact"/>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4.发展科技中介服务机构，建立科技成果展示及技术转化市场，促进科技成果与资本的有效对接。</w:t>
            </w:r>
          </w:p>
        </w:tc>
      </w:tr>
    </w:tbl>
    <w:p>
      <w:pPr>
        <w:pStyle w:val="2"/>
        <w:rPr>
          <w:color w:val="auto"/>
        </w:rPr>
      </w:pPr>
    </w:p>
    <w:p>
      <w:pPr>
        <w:pStyle w:val="4"/>
        <w:spacing w:line="560" w:lineRule="exact"/>
        <w:rPr>
          <w:color w:val="auto"/>
        </w:rPr>
      </w:pPr>
      <w:bookmarkStart w:id="504" w:name="_Toc65350387"/>
      <w:bookmarkStart w:id="505" w:name="_Toc65241462"/>
      <w:bookmarkStart w:id="506" w:name="_Toc67060819"/>
      <w:bookmarkStart w:id="507" w:name="_Toc65437901"/>
      <w:bookmarkStart w:id="508" w:name="_Toc65239479"/>
      <w:bookmarkStart w:id="509" w:name="_Toc71836023"/>
      <w:bookmarkStart w:id="510" w:name="_Toc24435"/>
      <w:r>
        <w:rPr>
          <w:rFonts w:hint="eastAsia"/>
          <w:color w:val="auto"/>
        </w:rPr>
        <w:t>第六节 营造创新创业生态</w:t>
      </w:r>
      <w:bookmarkEnd w:id="504"/>
      <w:bookmarkEnd w:id="505"/>
      <w:bookmarkEnd w:id="506"/>
      <w:bookmarkEnd w:id="507"/>
      <w:bookmarkEnd w:id="508"/>
      <w:bookmarkEnd w:id="509"/>
      <w:bookmarkEnd w:id="510"/>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大力弘扬科学家精神、企业家精神和工匠精神。</w:t>
      </w:r>
      <w:r>
        <w:rPr>
          <w:rFonts w:hint="eastAsia" w:eastAsia="仿宋_GB2312"/>
          <w:color w:val="auto"/>
          <w:szCs w:val="32"/>
        </w:rPr>
        <w:t>制定并出台有利于企业经营管理人才敢于创新，科技人才勇于探索，行业工匠敢为人先的管理办法和实施细则，使其成为创新发展的引领者、探索者和实践者。</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构建研发及成果转化的容错和保护机制。</w:t>
      </w:r>
      <w:r>
        <w:rPr>
          <w:rFonts w:hint="eastAsia" w:eastAsia="仿宋_GB2312"/>
          <w:color w:val="auto"/>
          <w:szCs w:val="32"/>
        </w:rPr>
        <w:t>充分体现知识、技术等创新要素价值，赋予科研单位和科研人员更大人财物自主权和收益分配权，积极营造鼓励创新、宽容失败的社会氛围。</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加强学风作风建设。</w:t>
      </w:r>
      <w:r>
        <w:rPr>
          <w:rFonts w:hint="eastAsia" w:eastAsia="仿宋_GB2312"/>
          <w:color w:val="auto"/>
          <w:szCs w:val="32"/>
        </w:rPr>
        <w:t>加强学术诚信教育，完善科研诚信体系，落实事前承诺、事中监督和事后绩效评估的管理机制，强化组织约束、自我约束和社会约束，建立健全科研创新失信惩戒机制，营造风清气正的科研环境。</w:t>
      </w:r>
    </w:p>
    <w:p>
      <w:pPr>
        <w:spacing w:line="560" w:lineRule="exact"/>
        <w:ind w:firstLine="643" w:firstLineChars="200"/>
        <w:rPr>
          <w:rFonts w:hint="eastAsia" w:eastAsia="仿宋_GB2312"/>
          <w:color w:val="auto"/>
          <w:szCs w:val="32"/>
        </w:rPr>
      </w:pPr>
      <w:r>
        <w:rPr>
          <w:rFonts w:hint="eastAsia" w:ascii="仿宋_GB2312" w:hAnsi="仿宋_GB2312" w:eastAsia="仿宋_GB2312" w:cs="仿宋_GB2312"/>
          <w:b/>
          <w:bCs/>
          <w:color w:val="auto"/>
          <w:szCs w:val="32"/>
        </w:rPr>
        <w:t>深入推进全域科普。</w:t>
      </w:r>
      <w:r>
        <w:rPr>
          <w:rFonts w:hint="eastAsia" w:eastAsia="仿宋_GB2312"/>
          <w:color w:val="auto"/>
          <w:szCs w:val="32"/>
        </w:rPr>
        <w:t>通过科普宣传活动，提升全民科学素质，在全社会营造崇尚科学、鼓励创新的良好氛围。</w:t>
      </w:r>
    </w:p>
    <w:p>
      <w:pPr>
        <w:spacing w:line="560" w:lineRule="exact"/>
        <w:ind w:firstLine="640" w:firstLineChars="200"/>
        <w:rPr>
          <w:rFonts w:ascii="仿宋" w:hAnsi="仿宋" w:cs="仿宋_GB2312"/>
          <w:color w:val="auto"/>
          <w:szCs w:val="32"/>
        </w:rPr>
      </w:pPr>
      <w:r>
        <w:rPr>
          <w:color w:val="auto"/>
          <w:szCs w:val="32"/>
        </w:rPr>
        <w:br w:type="page"/>
      </w:r>
    </w:p>
    <w:p>
      <w:pPr>
        <w:pStyle w:val="3"/>
        <w:spacing w:after="312" w:line="560" w:lineRule="exact"/>
        <w:rPr>
          <w:color w:val="auto"/>
        </w:rPr>
      </w:pPr>
      <w:bookmarkStart w:id="511" w:name="_Toc71836024"/>
      <w:bookmarkStart w:id="512" w:name="_Toc67060820"/>
      <w:bookmarkStart w:id="513" w:name="_Toc20465"/>
      <w:bookmarkStart w:id="514" w:name="_Toc65437902"/>
      <w:r>
        <w:rPr>
          <w:rFonts w:hint="eastAsia"/>
          <w:color w:val="auto"/>
        </w:rPr>
        <w:t>第八章 落实规划保障举措，确保规划顺利实施</w:t>
      </w:r>
      <w:bookmarkEnd w:id="363"/>
      <w:bookmarkEnd w:id="364"/>
      <w:bookmarkEnd w:id="365"/>
      <w:bookmarkEnd w:id="511"/>
      <w:bookmarkEnd w:id="512"/>
      <w:bookmarkEnd w:id="513"/>
      <w:bookmarkEnd w:id="51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本规划是安康“十四五”科技事业发展的行动指南，各县区、各部门应提高认识，加强组织协调，确保规划各项任务的落实完成。</w:t>
      </w:r>
    </w:p>
    <w:p>
      <w:pPr>
        <w:pStyle w:val="4"/>
        <w:spacing w:line="560" w:lineRule="exact"/>
        <w:rPr>
          <w:color w:val="auto"/>
        </w:rPr>
      </w:pPr>
      <w:bookmarkStart w:id="515" w:name="_Toc22468"/>
      <w:bookmarkStart w:id="516" w:name="_Toc65239481"/>
      <w:bookmarkStart w:id="517" w:name="_Toc65437903"/>
      <w:bookmarkStart w:id="518" w:name="_Toc65350389"/>
      <w:bookmarkStart w:id="519" w:name="_Toc71836025"/>
      <w:bookmarkStart w:id="520" w:name="_Toc67060821"/>
      <w:bookmarkStart w:id="521" w:name="_Toc65241464"/>
      <w:r>
        <w:rPr>
          <w:rFonts w:hint="eastAsia"/>
          <w:color w:val="auto"/>
        </w:rPr>
        <w:t>第一节 健全规划实施体系</w:t>
      </w:r>
      <w:bookmarkEnd w:id="515"/>
    </w:p>
    <w:bookmarkEnd w:id="516"/>
    <w:bookmarkEnd w:id="517"/>
    <w:bookmarkEnd w:id="518"/>
    <w:bookmarkEnd w:id="519"/>
    <w:bookmarkEnd w:id="520"/>
    <w:bookmarkEnd w:id="521"/>
    <w:p>
      <w:pPr>
        <w:snapToGrid w:val="0"/>
        <w:spacing w:line="560" w:lineRule="exact"/>
        <w:ind w:firstLine="640" w:firstLineChars="200"/>
        <w:rPr>
          <w:rFonts w:hint="eastAsia" w:eastAsia="仿宋_GB2312"/>
          <w:color w:val="auto"/>
          <w:szCs w:val="32"/>
        </w:rPr>
      </w:pPr>
      <w:r>
        <w:rPr>
          <w:rFonts w:hint="eastAsia" w:eastAsia="仿宋_GB2312"/>
          <w:color w:val="auto"/>
          <w:szCs w:val="32"/>
        </w:rPr>
        <w:t>深入</w:t>
      </w:r>
      <w:r>
        <w:rPr>
          <w:rFonts w:hint="eastAsia" w:eastAsia="仿宋_GB2312"/>
          <w:color w:val="auto"/>
          <w:szCs w:val="32"/>
          <w:lang w:eastAsia="zh-CN"/>
        </w:rPr>
        <w:t>学习贯彻习近平关于科技创新的重要</w:t>
      </w:r>
      <w:r>
        <w:rPr>
          <w:rFonts w:hint="eastAsia" w:eastAsia="仿宋_GB2312"/>
          <w:color w:val="auto"/>
          <w:szCs w:val="32"/>
        </w:rPr>
        <w:t>思想，广大科技工作者要自觉适应新一轮世界科技革命和产业变革的形势需要，践行</w:t>
      </w:r>
      <w:r>
        <w:rPr>
          <w:rFonts w:hint="eastAsia" w:eastAsia="仿宋_GB2312"/>
          <w:color w:val="auto"/>
          <w:szCs w:val="32"/>
          <w:lang w:eastAsia="zh-CN"/>
        </w:rPr>
        <w:t>习近平关于科技创新的重要</w:t>
      </w:r>
      <w:r>
        <w:rPr>
          <w:rFonts w:hint="eastAsia" w:eastAsia="仿宋_GB2312"/>
          <w:color w:val="auto"/>
          <w:szCs w:val="32"/>
        </w:rPr>
        <w:t>思想，切实提高科学素养，尊重科研规律，尊重科研管理规律，服务好科技创新；坚持党总揽全局、协调各方，把方向、谋大局、定政策、抓落实，将党中央各项方针政策贯穿于科技规划实施的全过程，把上级党委的重大决策部署落实到科技工作的各个方面。围绕规划目标任务、重大举措、重点项目落实，加强对规划实施的全程监督、对标考评。组织有关行业专家、技术专家以及知名企业家等，对安康</w:t>
      </w:r>
      <w:r>
        <w:rPr>
          <w:rFonts w:hint="eastAsia" w:eastAsia="仿宋_GB2312"/>
          <w:color w:val="auto"/>
          <w:szCs w:val="32"/>
          <w:lang w:eastAsia="zh-CN"/>
        </w:rPr>
        <w:t>科技</w:t>
      </w:r>
      <w:r>
        <w:rPr>
          <w:rFonts w:hint="eastAsia" w:eastAsia="仿宋_GB2312"/>
          <w:color w:val="auto"/>
          <w:szCs w:val="32"/>
        </w:rPr>
        <w:t>发展过程中的重大问题开展研究，及时解决规划实施过程中的全局性重大问题，确保“十四五”规划目标任务落到实处。</w:t>
      </w:r>
    </w:p>
    <w:p>
      <w:pPr>
        <w:pStyle w:val="4"/>
        <w:spacing w:line="560" w:lineRule="exact"/>
        <w:rPr>
          <w:rFonts w:hint="eastAsia" w:eastAsia="黑体"/>
          <w:color w:val="auto"/>
          <w:lang w:eastAsia="zh-CN"/>
        </w:rPr>
      </w:pPr>
      <w:bookmarkStart w:id="522" w:name="_Toc71836026"/>
      <w:bookmarkStart w:id="523" w:name="_Toc4310"/>
      <w:bookmarkStart w:id="524" w:name="_Toc65350390"/>
      <w:bookmarkStart w:id="525" w:name="_Toc67060822"/>
      <w:bookmarkStart w:id="526" w:name="_Toc65437904"/>
      <w:bookmarkStart w:id="527" w:name="_Toc65241465"/>
      <w:r>
        <w:rPr>
          <w:rFonts w:hint="eastAsia"/>
          <w:color w:val="auto"/>
        </w:rPr>
        <w:t xml:space="preserve">第二节 </w:t>
      </w:r>
      <w:bookmarkEnd w:id="522"/>
      <w:bookmarkEnd w:id="523"/>
      <w:bookmarkEnd w:id="524"/>
      <w:bookmarkEnd w:id="525"/>
      <w:bookmarkEnd w:id="526"/>
      <w:r>
        <w:rPr>
          <w:rFonts w:hint="eastAsia"/>
          <w:color w:val="auto"/>
          <w:lang w:eastAsia="zh-CN"/>
        </w:rPr>
        <w:t>完善规划落实机制保障</w:t>
      </w:r>
    </w:p>
    <w:bookmarkEnd w:id="527"/>
    <w:p>
      <w:pPr>
        <w:snapToGrid w:val="0"/>
        <w:spacing w:line="560" w:lineRule="exact"/>
        <w:ind w:firstLine="640" w:firstLineChars="200"/>
        <w:rPr>
          <w:rFonts w:hint="eastAsia" w:eastAsia="仿宋_GB2312"/>
          <w:color w:val="auto"/>
          <w:szCs w:val="32"/>
        </w:rPr>
      </w:pPr>
      <w:r>
        <w:rPr>
          <w:rFonts w:hint="eastAsia" w:eastAsia="仿宋_GB2312"/>
          <w:color w:val="auto"/>
          <w:szCs w:val="32"/>
        </w:rPr>
        <w:t>建立统一、高效、畅通的协调推进机制</w:t>
      </w:r>
      <w:r>
        <w:rPr>
          <w:rFonts w:hint="eastAsia" w:eastAsia="仿宋_GB2312"/>
          <w:color w:val="auto"/>
          <w:szCs w:val="32"/>
          <w:lang w:eastAsia="zh-CN"/>
        </w:rPr>
        <w:t>，</w:t>
      </w:r>
      <w:r>
        <w:rPr>
          <w:rFonts w:hint="eastAsia" w:eastAsia="仿宋_GB2312"/>
          <w:color w:val="auto"/>
          <w:szCs w:val="32"/>
        </w:rPr>
        <w:t>优化科技资源配置，做好人力、物力、技术、资金等要素统筹安排</w:t>
      </w:r>
      <w:r>
        <w:rPr>
          <w:rFonts w:hint="eastAsia" w:eastAsia="仿宋_GB2312"/>
          <w:color w:val="auto"/>
          <w:szCs w:val="32"/>
          <w:lang w:eastAsia="zh-CN"/>
        </w:rPr>
        <w:t>。</w:t>
      </w:r>
      <w:r>
        <w:rPr>
          <w:rFonts w:hint="eastAsia" w:eastAsia="仿宋_GB2312"/>
          <w:color w:val="auto"/>
          <w:szCs w:val="32"/>
        </w:rPr>
        <w:t>加强</w:t>
      </w:r>
      <w:r>
        <w:rPr>
          <w:rFonts w:hint="eastAsia" w:eastAsia="仿宋_GB2312"/>
          <w:color w:val="auto"/>
          <w:szCs w:val="32"/>
          <w:lang w:val="en-US" w:eastAsia="zh-CN"/>
        </w:rPr>
        <w:t>规划与计划的衔接，发挥</w:t>
      </w:r>
      <w:r>
        <w:rPr>
          <w:rFonts w:hint="eastAsia" w:eastAsia="仿宋_GB2312"/>
          <w:color w:val="auto"/>
          <w:szCs w:val="32"/>
        </w:rPr>
        <w:t>规划对年度科技计划执行和重大项目统筹安排的指导作用，确保规划提出的各项任务落到实处。</w:t>
      </w:r>
    </w:p>
    <w:p>
      <w:pPr>
        <w:snapToGrid w:val="0"/>
        <w:spacing w:line="560" w:lineRule="exact"/>
        <w:rPr>
          <w:rFonts w:hint="default" w:eastAsia="仿宋_GB2312"/>
          <w:color w:val="auto"/>
          <w:szCs w:val="32"/>
          <w:lang w:val="en-US" w:eastAsia="zh-CN"/>
        </w:rPr>
      </w:pPr>
      <w:r>
        <w:rPr>
          <w:rFonts w:hint="eastAsia" w:eastAsia="仿宋_GB2312"/>
          <w:color w:val="auto"/>
          <w:szCs w:val="32"/>
        </w:rPr>
        <w:t>建立规划实施过程中的动态调整机制，根据监测评估结果和环境变化及时对规划进行动态调整。完善科技创新评价机制和考核办法，</w:t>
      </w:r>
      <w:bookmarkStart w:id="528" w:name="_Toc65241467"/>
      <w:bookmarkStart w:id="529" w:name="_Toc65350391"/>
      <w:bookmarkStart w:id="530" w:name="_Toc65437905"/>
      <w:bookmarkStart w:id="531" w:name="_Toc65239482"/>
      <w:r>
        <w:rPr>
          <w:rFonts w:hint="eastAsia" w:eastAsia="仿宋_GB2312"/>
          <w:color w:val="auto"/>
          <w:szCs w:val="32"/>
          <w:lang w:eastAsia="zh-CN"/>
        </w:rPr>
        <w:t>把科技创新有关指标纳入综合考核体系。</w:t>
      </w:r>
      <w:r>
        <w:rPr>
          <w:rFonts w:hint="eastAsia" w:eastAsia="仿宋_GB2312"/>
          <w:color w:val="auto"/>
          <w:szCs w:val="32"/>
          <w:lang w:val="en-US" w:eastAsia="zh-CN"/>
        </w:rPr>
        <w:t>各行业、主管部门、各县（市、区）结合自身发展实际，制定相应的科技计划。市科技主管部门根据部门、行业、区域特点，加强对科技计划的协调和分类指导。</w:t>
      </w:r>
    </w:p>
    <w:p>
      <w:pPr>
        <w:pStyle w:val="4"/>
        <w:spacing w:line="560" w:lineRule="exact"/>
        <w:rPr>
          <w:color w:val="auto"/>
        </w:rPr>
      </w:pPr>
      <w:bookmarkStart w:id="532" w:name="_Toc7855"/>
      <w:bookmarkStart w:id="533" w:name="_Toc71836027"/>
      <w:bookmarkStart w:id="534" w:name="_Toc67060823"/>
      <w:r>
        <w:rPr>
          <w:rFonts w:hint="eastAsia"/>
          <w:color w:val="auto"/>
        </w:rPr>
        <w:t>第三节 加大科技创新投入</w:t>
      </w:r>
      <w:bookmarkEnd w:id="532"/>
      <w:bookmarkEnd w:id="533"/>
      <w:bookmarkEnd w:id="534"/>
    </w:p>
    <w:p>
      <w:pPr>
        <w:snapToGrid w:val="0"/>
        <w:spacing w:line="560" w:lineRule="exact"/>
        <w:ind w:firstLine="640" w:firstLineChars="200"/>
        <w:rPr>
          <w:rFonts w:hint="eastAsia" w:eastAsia="仿宋_GB2312"/>
          <w:color w:val="auto"/>
          <w:szCs w:val="32"/>
        </w:rPr>
      </w:pPr>
      <w:r>
        <w:rPr>
          <w:rFonts w:hint="eastAsia" w:eastAsia="仿宋_GB2312"/>
          <w:color w:val="auto"/>
          <w:szCs w:val="32"/>
        </w:rPr>
        <w:t>贯彻落实中、省关于科技投入的各项法规政策，制定配套实施细则，推进市县两级加大科技投入，推动安康市地方财政科技支出逐年递增。优化配置财政科技资源，采用“资金变基金”“间接补”“后补助”等资助方式扶持创新活动。强化企业研发投入主体地位，对研发投入强度高的企业予以科技项目优先支持。引导和支持高校、科研院所和企业开展研发活动，</w:t>
      </w:r>
      <w:r>
        <w:rPr>
          <w:rFonts w:hint="eastAsia" w:eastAsia="仿宋_GB2312"/>
          <w:color w:val="auto"/>
          <w:szCs w:val="32"/>
          <w:lang w:val="en-US" w:eastAsia="zh-CN"/>
        </w:rPr>
        <w:t>推动</w:t>
      </w:r>
      <w:r>
        <w:rPr>
          <w:rFonts w:hint="eastAsia" w:eastAsia="仿宋_GB2312"/>
          <w:color w:val="auto"/>
          <w:szCs w:val="32"/>
        </w:rPr>
        <w:t>全社会研发投入</w:t>
      </w:r>
      <w:r>
        <w:rPr>
          <w:rFonts w:hint="eastAsia" w:eastAsia="仿宋_GB2312"/>
          <w:color w:val="auto"/>
          <w:szCs w:val="32"/>
          <w:lang w:val="en-US" w:eastAsia="zh-CN"/>
        </w:rPr>
        <w:t>不断</w:t>
      </w:r>
      <w:r>
        <w:rPr>
          <w:rFonts w:hint="eastAsia" w:eastAsia="仿宋_GB2312"/>
          <w:color w:val="auto"/>
          <w:szCs w:val="32"/>
          <w:lang w:eastAsia="zh-CN"/>
        </w:rPr>
        <w:t>增长</w:t>
      </w:r>
      <w:r>
        <w:rPr>
          <w:rFonts w:hint="eastAsia" w:eastAsia="仿宋_GB2312"/>
          <w:color w:val="auto"/>
          <w:szCs w:val="32"/>
        </w:rPr>
        <w:t>。建立多元化的科技投入体系，引导全社会增加研发经费投入，建立科研项目资金配套制度。强化政府资金和金融手段的协调配合，加大对科技创新型中小企业的金融支持，引导各类投资基金、创新基金等进入安康重点产业从事技术研发活动，鼓励各类银行发展科技型分支机构，扩大科技担保、科技保险、知识产权质押、创业投资、天使基金等科技融资规模。</w:t>
      </w:r>
    </w:p>
    <w:bookmarkEnd w:id="528"/>
    <w:bookmarkEnd w:id="529"/>
    <w:bookmarkEnd w:id="530"/>
    <w:bookmarkEnd w:id="531"/>
    <w:p>
      <w:pPr>
        <w:snapToGrid w:val="0"/>
        <w:spacing w:line="560" w:lineRule="exact"/>
        <w:ind w:firstLine="560" w:firstLineChars="200"/>
        <w:rPr>
          <w:rFonts w:ascii="仿宋" w:hAnsi="仿宋" w:cs="仿宋_GB2312"/>
          <w:color w:val="auto"/>
          <w:sz w:val="28"/>
          <w:szCs w:val="28"/>
        </w:rPr>
      </w:pPr>
    </w:p>
    <w:p>
      <w:pPr>
        <w:snapToGrid w:val="0"/>
        <w:spacing w:line="560" w:lineRule="exact"/>
        <w:ind w:firstLine="560" w:firstLineChars="200"/>
        <w:rPr>
          <w:rFonts w:ascii="仿宋" w:hAnsi="仿宋" w:cs="仿宋_GB2312"/>
          <w:color w:val="auto"/>
          <w:sz w:val="28"/>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spacing w:after="312" w:line="560" w:lineRule="exact"/>
        <w:jc w:val="left"/>
        <w:rPr>
          <w:color w:val="auto"/>
        </w:rPr>
      </w:pPr>
      <w:bookmarkStart w:id="535" w:name="_Toc2535"/>
      <w:bookmarkStart w:id="536" w:name="_Toc71836031"/>
      <w:r>
        <w:rPr>
          <w:rFonts w:hint="eastAsia"/>
          <w:color w:val="auto"/>
        </w:rPr>
        <w:t>附件</w:t>
      </w:r>
    </w:p>
    <w:p>
      <w:pPr>
        <w:pStyle w:val="3"/>
        <w:spacing w:after="312" w:line="560" w:lineRule="exact"/>
        <w:rPr>
          <w:color w:val="auto"/>
        </w:rPr>
      </w:pPr>
      <w:r>
        <w:rPr>
          <w:rFonts w:hint="eastAsia"/>
          <w:color w:val="auto"/>
        </w:rPr>
        <w:t>安康市“十四五”期间重点领域科技创新指南</w:t>
      </w:r>
      <w:bookmarkEnd w:id="535"/>
      <w:bookmarkEnd w:id="536"/>
    </w:p>
    <w:tbl>
      <w:tblPr>
        <w:tblStyle w:val="25"/>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30"/>
        <w:gridCol w:w="959"/>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bookmarkStart w:id="537" w:name="RANGE!A2"/>
            <w:r>
              <w:rPr>
                <w:rFonts w:hint="eastAsia" w:ascii="仿宋_GB2312" w:hAnsi="仿宋_GB2312" w:eastAsia="仿宋_GB2312" w:cs="仿宋_GB2312"/>
                <w:b/>
                <w:bCs/>
                <w:color w:val="auto"/>
                <w:kern w:val="0"/>
                <w:sz w:val="28"/>
                <w:szCs w:val="28"/>
              </w:rPr>
              <w:t>重点领域</w:t>
            </w:r>
            <w:bookmarkEnd w:id="537"/>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重点</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产业</w:t>
            </w:r>
          </w:p>
        </w:tc>
        <w:tc>
          <w:tcPr>
            <w:tcW w:w="6478"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重大科技攻关方向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三大千亿级产业</w:t>
            </w: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富硒</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产业</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1.硒资源详查；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2.植物聚硒机制研究；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3.高聚硒作物品种选育；</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4.高聚硒植物资源开发利用；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5.富硒产业数字化智慧平台建设；</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6.富硒饲料、肥料、添加剂开发；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7.硒多糖、硒蛋白提取；</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8.农产品生产与加工中的补硒、稳硒及控硒技术；</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9.富硒功能食品开发；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10.富硒食品标准化建设。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旅游</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康养</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1.全域旅游背景下康养旅游产业融合发展模式；</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2.精品旅游线路、项目开发；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3.精品旅游产品开发；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4.医药保健品、大健康产品研发；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5.功能性康养产品开发；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6.人体心理生理综合健康评估检测指标体系和预警研究；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7.智慧康养模式创新与新技术示范应用。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新型</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材料</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1.钒催化剂、化工钒盐、钒系功能化合物技术研发与转化；</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2.绿色低碳综合利用技术开发与应用；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3.新型有色金属材料重大技术引进与攻关；</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4.锂电新能源储能材料重大关键技术引进集成与技术攻关；</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5.重晶石无机盐非金属材料深加工与资源综合利用研究；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6.钡盐化工精深加工与固废综合利用研究；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7.无机非金属材料开采、提纯加工工艺优化和转化应用；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8.微纳米功能材料、聚酯功能分离材料、高分子复合材料等前沿新型材料技术与引进、工艺优化；</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9.新型建筑材料及新产品开发；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10.绿色新型材料开发及产业基地建设。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四大新型支柱产业</w:t>
            </w: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装备</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制造</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1.汽车、新能源汽车零部件制造、装配技术引进集成及工艺优化；</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2.特种设备制造技术引进与工艺优化；</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3.工程机械技术引进与工艺优化；</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4.山地小型农机装备引进、关键技术攻关与新产品开发；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5.工业机器人等智能成套装备的集成创新和应用；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6.电动餐厨垃圾车、垃圾清运车、规模养殖场粪污回收利用装备技术引进与新产品研发；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7.绿色制造、加工工艺及资源再生技术研发；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8.“互联网+”制造业新型技术研发与示范应用。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电子</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信息</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1.电子线束产业重大技术引进与关键技术攻关；</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2.半导体新材料、新器件、新工艺和新电路的技术研发；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3.智能穿戴产品、VR眼镜、骨传导耳机及无线充电器、手机电池等配套产品技术研发；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4.人工智能、云计算、大数据、物联网、区块链、智能机器人等现代信息技术的引进及示范应用；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5.5G技术应用与推广。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现代</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物流</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1.网络化生产、流通、消费技术研发；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2.移动电子商务技术与装备的研发；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3.自动识别、电子数据交换、可视化、货物跟踪、智能交通、物联网等先进物流技术引进与集成应用；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4.市、县、镇、村（社区）四级物流体系构建。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color w:val="auto"/>
                <w:kern w:val="0"/>
                <w:sz w:val="28"/>
                <w:szCs w:val="28"/>
              </w:rPr>
              <w:t>7</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毛玩</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文创</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1.毛绒玩具文化艺术设计与创意产品开发；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2.毛绒玩具新型材料开发；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3.毛绒玩具先进生产工艺技术引进与集成研发；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4.毛绒玩具标准综合体研制；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5.毛绒玩具知名品牌创建与市场推广。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现代农业</w:t>
            </w: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color w:val="auto"/>
                <w:kern w:val="0"/>
                <w:sz w:val="28"/>
                <w:szCs w:val="28"/>
              </w:rPr>
              <w:t>8</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种植业</w:t>
            </w:r>
          </w:p>
        </w:tc>
        <w:tc>
          <w:tcPr>
            <w:tcW w:w="6478" w:type="dxa"/>
          </w:tcPr>
          <w:p>
            <w:pPr>
              <w:keepNext w:val="0"/>
              <w:keepLines w:val="0"/>
              <w:pageBreakBefore w:val="0"/>
              <w:widowControl/>
              <w:numPr>
                <w:ilvl w:val="0"/>
                <w:numId w:val="3"/>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农作物、林木种质资源保护及新品种选育；</w:t>
            </w:r>
          </w:p>
          <w:p>
            <w:pPr>
              <w:keepNext w:val="0"/>
              <w:keepLines w:val="0"/>
              <w:pageBreakBefore w:val="0"/>
              <w:widowControl/>
              <w:numPr>
                <w:ilvl w:val="0"/>
                <w:numId w:val="3"/>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良种选育关键技术研发;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3.作物、林木良种引进及配套技术集成研究；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4.主要农作物提质增效关键技术研究；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5.农作物、林木主要病虫害绿色防控技术研究；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6.作物测土配方施肥及专用新型有机肥料、生物肥料开发；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7.蔬菜、茶叶、果品节本增效关键技术集成研究。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color w:val="auto"/>
                <w:kern w:val="0"/>
                <w:sz w:val="28"/>
                <w:szCs w:val="28"/>
              </w:rPr>
              <w:t>9</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养殖业</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1.动物新品种选育；</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2.安康钱鱼种质资源保护与开发利用；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3.畜禽、水产疫病防治及重大疫病防控体系建设；</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4.动物饲料、中草药替代添加剂开发；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5.规模化养殖场废弃物无害化处理与资源化利用；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6.畜禽水产安全健康养殖环境控制技术研究和集成；</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7.畜牧、水产业全产业链提质增效与绿色畜禽、水产品供应基地建设；</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rPr>
              <w:t>8.富硒蚕饲料开发与工厂化养蚕关键技术攻关。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农产品加工业</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1.农产品原产地加工及保鲜、储藏、分级、包装等技术研究；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2.农业功能性新产品开发；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3.农产品全产业链质量控制技术研究。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农业体系建设</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1.区域优势农产品原料供应基地建设；</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2.农业科技园区建设与提档升级；</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3.农产品“两品一标”认证与全程质量控制技术研究；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4.农业标准化技术指标研究及体系构建；</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5.农业面源污染治理及技术体系建设；</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6.智慧农业技术集成与示范应用。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社会发展领域</w:t>
            </w: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12</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医疗</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卫生</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1.重大疾病、多发疾病防控技术研究；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2.突发传染性疾病预警、预测、防控技术及处置体系建设；</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3.重大疾病、多发疾病医药产品开发；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4.中药新药研发及传统名中药二次开发；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5.医药制剂技术和辅料的开发应用；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6.医疗设备、器械核心部件和关键技术攻关；</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7.医疗新材料、新技术引进与临床应用；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8.秦巴道地中药材开发利用；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9.中西医结合诊疗技术研究与评价体系构建。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13</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生态</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保护</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1.秦岭、巴山生态保护和环境修复关键技术研究；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2.汉江流域水生态环境监测和综合治理关键技术研究；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3.大气质量检监测和污染综合治理关键技术研究；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4.土壤污染监测与污染修复治理关键技术研究；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5.珍稀濒危野生动物保护繁育技术研究；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6.退化林生态修复技术体系研究；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7.秦巴区域森林生态系统预警机制及碳汇监测体系研究；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8.乡村人居环境生活垃圾、生活污水综合治理及“厕所革命”关键技术研究。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14</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公共</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安全</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1.网格化、信息化、智能化技术在公共安全中的应用；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2.生物安全监测、预警及有害生物追溯、控制关键技术研究；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3.气象、地质、洪涝、地震、森林火灾等自然灾害监测、预报预警和发现早期识别关键技术研发；</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4.现代防灾、减灾、救灾新技术、新产品、新装备引进和应用；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5.食品生产加工工艺改进、质量检测、评估预警、溯源控制等领域的技术引进与开发。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p>
        </w:tc>
        <w:tc>
          <w:tcPr>
            <w:tcW w:w="7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15</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机制体制创新</w:t>
            </w:r>
          </w:p>
        </w:tc>
        <w:tc>
          <w:tcPr>
            <w:tcW w:w="6478"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1.重点特色产业领域“链长制”的模式构建与试点；</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2.“三产融合”机制及模式创新；</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rPr>
              <w:t>3.科技助力乡村振兴的模式构建与示范基地建设。</w:t>
            </w:r>
          </w:p>
        </w:tc>
      </w:tr>
    </w:tbl>
    <w:p>
      <w:pPr>
        <w:spacing w:line="560" w:lineRule="exact"/>
        <w:rPr>
          <w:color w:val="auto"/>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513545"/>
    </w:sdtPr>
    <w:sdtContent>
      <w:p>
        <w:pPr>
          <w:pStyle w:val="9"/>
          <w:jc w:val="center"/>
        </w:pP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779654"/>
    </w:sdtPr>
    <w:sdtContent>
      <w:p>
        <w:pPr>
          <w:pStyle w:val="9"/>
          <w:jc w:val="center"/>
        </w:pPr>
        <w:r>
          <w:fldChar w:fldCharType="begin"/>
        </w:r>
        <w:r>
          <w:instrText xml:space="preserve">PAGE   \* MERGEFORMAT</w:instrText>
        </w:r>
        <w:r>
          <w:fldChar w:fldCharType="separate"/>
        </w:r>
        <w:r>
          <w:rPr>
            <w:lang w:val="zh-CN"/>
          </w:rPr>
          <w:t>13</w:t>
        </w:r>
        <w:r>
          <w:fldChar w:fldCharType="end"/>
        </w:r>
      </w:p>
      <w:p>
        <w:pPr>
          <w:pStyle w:val="9"/>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63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4C93D"/>
    <w:multiLevelType w:val="singleLevel"/>
    <w:tmpl w:val="D934C93D"/>
    <w:lvl w:ilvl="0" w:tentative="0">
      <w:start w:val="2"/>
      <w:numFmt w:val="chineseCounting"/>
      <w:suff w:val="space"/>
      <w:lvlText w:val="第%1节"/>
      <w:lvlJc w:val="left"/>
      <w:rPr>
        <w:rFonts w:hint="eastAsia"/>
      </w:rPr>
    </w:lvl>
  </w:abstractNum>
  <w:abstractNum w:abstractNumId="1">
    <w:nsid w:val="17B64FEF"/>
    <w:multiLevelType w:val="multilevel"/>
    <w:tmpl w:val="17B64F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7A6F0B"/>
    <w:multiLevelType w:val="singleLevel"/>
    <w:tmpl w:val="697A6F0B"/>
    <w:lvl w:ilvl="0" w:tentative="0">
      <w:start w:val="3"/>
      <w:numFmt w:val="chineseCounting"/>
      <w:suff w:val="space"/>
      <w:lvlText w:val="第%1节"/>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757D1"/>
    <w:rsid w:val="000017CE"/>
    <w:rsid w:val="00001E21"/>
    <w:rsid w:val="00002A84"/>
    <w:rsid w:val="000034E0"/>
    <w:rsid w:val="000046E2"/>
    <w:rsid w:val="00004CC9"/>
    <w:rsid w:val="00005E42"/>
    <w:rsid w:val="00007966"/>
    <w:rsid w:val="00007A36"/>
    <w:rsid w:val="00011C54"/>
    <w:rsid w:val="00012459"/>
    <w:rsid w:val="00012C34"/>
    <w:rsid w:val="00012FE9"/>
    <w:rsid w:val="000161AF"/>
    <w:rsid w:val="00016455"/>
    <w:rsid w:val="00016ECD"/>
    <w:rsid w:val="000176CE"/>
    <w:rsid w:val="00017727"/>
    <w:rsid w:val="0001792D"/>
    <w:rsid w:val="000204BD"/>
    <w:rsid w:val="000214AA"/>
    <w:rsid w:val="00021DBB"/>
    <w:rsid w:val="00021F35"/>
    <w:rsid w:val="00022CB4"/>
    <w:rsid w:val="0002383B"/>
    <w:rsid w:val="000240BC"/>
    <w:rsid w:val="00024692"/>
    <w:rsid w:val="00033D83"/>
    <w:rsid w:val="00035986"/>
    <w:rsid w:val="000408B4"/>
    <w:rsid w:val="00041E6D"/>
    <w:rsid w:val="00050E83"/>
    <w:rsid w:val="00051FE5"/>
    <w:rsid w:val="00055DBD"/>
    <w:rsid w:val="0006372F"/>
    <w:rsid w:val="0006387C"/>
    <w:rsid w:val="00064124"/>
    <w:rsid w:val="0006426A"/>
    <w:rsid w:val="00064ECF"/>
    <w:rsid w:val="000657BC"/>
    <w:rsid w:val="00066B99"/>
    <w:rsid w:val="000705DB"/>
    <w:rsid w:val="0007095D"/>
    <w:rsid w:val="0007605E"/>
    <w:rsid w:val="00076CE4"/>
    <w:rsid w:val="000808AC"/>
    <w:rsid w:val="00080C9F"/>
    <w:rsid w:val="00083536"/>
    <w:rsid w:val="00083FF2"/>
    <w:rsid w:val="0008667C"/>
    <w:rsid w:val="00087350"/>
    <w:rsid w:val="00091018"/>
    <w:rsid w:val="000916CE"/>
    <w:rsid w:val="00092614"/>
    <w:rsid w:val="00092DE0"/>
    <w:rsid w:val="00093C18"/>
    <w:rsid w:val="00094976"/>
    <w:rsid w:val="00097187"/>
    <w:rsid w:val="000A21C3"/>
    <w:rsid w:val="000A2587"/>
    <w:rsid w:val="000A2901"/>
    <w:rsid w:val="000A3CFF"/>
    <w:rsid w:val="000A65F3"/>
    <w:rsid w:val="000B1D05"/>
    <w:rsid w:val="000B32CE"/>
    <w:rsid w:val="000B41A3"/>
    <w:rsid w:val="000B7F4F"/>
    <w:rsid w:val="000C02D5"/>
    <w:rsid w:val="000C0F81"/>
    <w:rsid w:val="000C13EA"/>
    <w:rsid w:val="000C55AC"/>
    <w:rsid w:val="000C60BE"/>
    <w:rsid w:val="000C709A"/>
    <w:rsid w:val="000D0442"/>
    <w:rsid w:val="000D1255"/>
    <w:rsid w:val="000D4D60"/>
    <w:rsid w:val="000D57C2"/>
    <w:rsid w:val="000D5EFE"/>
    <w:rsid w:val="000D643E"/>
    <w:rsid w:val="000D7700"/>
    <w:rsid w:val="000D7FFE"/>
    <w:rsid w:val="000E05AE"/>
    <w:rsid w:val="000E1B65"/>
    <w:rsid w:val="000E2663"/>
    <w:rsid w:val="000E4284"/>
    <w:rsid w:val="000E53F0"/>
    <w:rsid w:val="000F16FF"/>
    <w:rsid w:val="000F2E8F"/>
    <w:rsid w:val="000F3B5A"/>
    <w:rsid w:val="000F5B8E"/>
    <w:rsid w:val="000F610B"/>
    <w:rsid w:val="0010102A"/>
    <w:rsid w:val="001025D7"/>
    <w:rsid w:val="0010373B"/>
    <w:rsid w:val="001071F4"/>
    <w:rsid w:val="00107CF0"/>
    <w:rsid w:val="00110F9D"/>
    <w:rsid w:val="00111F49"/>
    <w:rsid w:val="00113481"/>
    <w:rsid w:val="001136F8"/>
    <w:rsid w:val="00115273"/>
    <w:rsid w:val="00115D83"/>
    <w:rsid w:val="00117797"/>
    <w:rsid w:val="00117B8C"/>
    <w:rsid w:val="001205F3"/>
    <w:rsid w:val="00121AD2"/>
    <w:rsid w:val="00122163"/>
    <w:rsid w:val="001222EF"/>
    <w:rsid w:val="00122729"/>
    <w:rsid w:val="001235C0"/>
    <w:rsid w:val="00123D33"/>
    <w:rsid w:val="001247AB"/>
    <w:rsid w:val="00130F2D"/>
    <w:rsid w:val="001323C4"/>
    <w:rsid w:val="00132F9A"/>
    <w:rsid w:val="00132FBD"/>
    <w:rsid w:val="00133A11"/>
    <w:rsid w:val="00133DDF"/>
    <w:rsid w:val="00134C5E"/>
    <w:rsid w:val="00135C7C"/>
    <w:rsid w:val="00142E59"/>
    <w:rsid w:val="0014454A"/>
    <w:rsid w:val="00147AB7"/>
    <w:rsid w:val="0015080D"/>
    <w:rsid w:val="00150D76"/>
    <w:rsid w:val="0015284B"/>
    <w:rsid w:val="001575A7"/>
    <w:rsid w:val="001602DE"/>
    <w:rsid w:val="0016150F"/>
    <w:rsid w:val="001630C8"/>
    <w:rsid w:val="0016403F"/>
    <w:rsid w:val="00164667"/>
    <w:rsid w:val="00165485"/>
    <w:rsid w:val="00165E28"/>
    <w:rsid w:val="00166C70"/>
    <w:rsid w:val="00166F6F"/>
    <w:rsid w:val="00167C5F"/>
    <w:rsid w:val="00170987"/>
    <w:rsid w:val="001740B6"/>
    <w:rsid w:val="001741D7"/>
    <w:rsid w:val="001776C1"/>
    <w:rsid w:val="00177B3E"/>
    <w:rsid w:val="00180799"/>
    <w:rsid w:val="00180B2B"/>
    <w:rsid w:val="00183D96"/>
    <w:rsid w:val="001859BC"/>
    <w:rsid w:val="00185A65"/>
    <w:rsid w:val="0018633D"/>
    <w:rsid w:val="00190D87"/>
    <w:rsid w:val="00191386"/>
    <w:rsid w:val="00191776"/>
    <w:rsid w:val="001919EF"/>
    <w:rsid w:val="00192512"/>
    <w:rsid w:val="00192D0F"/>
    <w:rsid w:val="00194187"/>
    <w:rsid w:val="00197F5B"/>
    <w:rsid w:val="001A01B3"/>
    <w:rsid w:val="001A3406"/>
    <w:rsid w:val="001A376C"/>
    <w:rsid w:val="001A4DC7"/>
    <w:rsid w:val="001A6B83"/>
    <w:rsid w:val="001A6C81"/>
    <w:rsid w:val="001A746B"/>
    <w:rsid w:val="001A7DC2"/>
    <w:rsid w:val="001B09CC"/>
    <w:rsid w:val="001B1480"/>
    <w:rsid w:val="001B75BE"/>
    <w:rsid w:val="001B76E8"/>
    <w:rsid w:val="001C1139"/>
    <w:rsid w:val="001C1442"/>
    <w:rsid w:val="001C2320"/>
    <w:rsid w:val="001D2FB1"/>
    <w:rsid w:val="001D4A9A"/>
    <w:rsid w:val="001D5806"/>
    <w:rsid w:val="001D6976"/>
    <w:rsid w:val="001D7324"/>
    <w:rsid w:val="001E449E"/>
    <w:rsid w:val="001E780B"/>
    <w:rsid w:val="001F17AD"/>
    <w:rsid w:val="001F1CEB"/>
    <w:rsid w:val="001F1DCA"/>
    <w:rsid w:val="001F1FA1"/>
    <w:rsid w:val="001F33A3"/>
    <w:rsid w:val="001F340E"/>
    <w:rsid w:val="001F4200"/>
    <w:rsid w:val="001F63C9"/>
    <w:rsid w:val="002014AD"/>
    <w:rsid w:val="00202366"/>
    <w:rsid w:val="00204FBA"/>
    <w:rsid w:val="00206173"/>
    <w:rsid w:val="00206D84"/>
    <w:rsid w:val="002079B1"/>
    <w:rsid w:val="00207B93"/>
    <w:rsid w:val="00210B72"/>
    <w:rsid w:val="0021126D"/>
    <w:rsid w:val="002112DC"/>
    <w:rsid w:val="002136DD"/>
    <w:rsid w:val="002138F5"/>
    <w:rsid w:val="00216D38"/>
    <w:rsid w:val="00221877"/>
    <w:rsid w:val="00222410"/>
    <w:rsid w:val="002257CB"/>
    <w:rsid w:val="0022589B"/>
    <w:rsid w:val="0022591F"/>
    <w:rsid w:val="00226137"/>
    <w:rsid w:val="002272DD"/>
    <w:rsid w:val="002276FB"/>
    <w:rsid w:val="0023011D"/>
    <w:rsid w:val="00234D46"/>
    <w:rsid w:val="00236AF1"/>
    <w:rsid w:val="00236F04"/>
    <w:rsid w:val="00236F66"/>
    <w:rsid w:val="00244151"/>
    <w:rsid w:val="00244170"/>
    <w:rsid w:val="00244B62"/>
    <w:rsid w:val="00245027"/>
    <w:rsid w:val="00246411"/>
    <w:rsid w:val="00246C70"/>
    <w:rsid w:val="002476A8"/>
    <w:rsid w:val="00250650"/>
    <w:rsid w:val="00252A10"/>
    <w:rsid w:val="002540A5"/>
    <w:rsid w:val="002540BD"/>
    <w:rsid w:val="002550E7"/>
    <w:rsid w:val="00255289"/>
    <w:rsid w:val="00255826"/>
    <w:rsid w:val="00262C1D"/>
    <w:rsid w:val="00263796"/>
    <w:rsid w:val="00263C36"/>
    <w:rsid w:val="00263CB6"/>
    <w:rsid w:val="0026557E"/>
    <w:rsid w:val="00266C3E"/>
    <w:rsid w:val="0026751D"/>
    <w:rsid w:val="00273667"/>
    <w:rsid w:val="00274100"/>
    <w:rsid w:val="002742E2"/>
    <w:rsid w:val="002743FD"/>
    <w:rsid w:val="00275B03"/>
    <w:rsid w:val="00277DC1"/>
    <w:rsid w:val="002826A2"/>
    <w:rsid w:val="00282D7F"/>
    <w:rsid w:val="0028615B"/>
    <w:rsid w:val="00286C70"/>
    <w:rsid w:val="00290141"/>
    <w:rsid w:val="00290AF4"/>
    <w:rsid w:val="0029462E"/>
    <w:rsid w:val="002950FB"/>
    <w:rsid w:val="002964CA"/>
    <w:rsid w:val="002A1DAA"/>
    <w:rsid w:val="002A4592"/>
    <w:rsid w:val="002A5183"/>
    <w:rsid w:val="002A5F3B"/>
    <w:rsid w:val="002A7557"/>
    <w:rsid w:val="002A7FF7"/>
    <w:rsid w:val="002B5717"/>
    <w:rsid w:val="002B7DD3"/>
    <w:rsid w:val="002C37B8"/>
    <w:rsid w:val="002C448B"/>
    <w:rsid w:val="002C5719"/>
    <w:rsid w:val="002C57DA"/>
    <w:rsid w:val="002D1010"/>
    <w:rsid w:val="002D3898"/>
    <w:rsid w:val="002D3909"/>
    <w:rsid w:val="002D3968"/>
    <w:rsid w:val="002D3E1C"/>
    <w:rsid w:val="002D4076"/>
    <w:rsid w:val="002D6673"/>
    <w:rsid w:val="002D762E"/>
    <w:rsid w:val="002E13CD"/>
    <w:rsid w:val="002E3A88"/>
    <w:rsid w:val="002E3C91"/>
    <w:rsid w:val="002E4472"/>
    <w:rsid w:val="002E49A8"/>
    <w:rsid w:val="002E4FC0"/>
    <w:rsid w:val="002E5B01"/>
    <w:rsid w:val="002E6336"/>
    <w:rsid w:val="002F1336"/>
    <w:rsid w:val="002F1D14"/>
    <w:rsid w:val="002F3B6E"/>
    <w:rsid w:val="002F3CCB"/>
    <w:rsid w:val="002F4853"/>
    <w:rsid w:val="002F6BAA"/>
    <w:rsid w:val="0030023B"/>
    <w:rsid w:val="003028E7"/>
    <w:rsid w:val="00302925"/>
    <w:rsid w:val="003036D6"/>
    <w:rsid w:val="003044EA"/>
    <w:rsid w:val="0030473D"/>
    <w:rsid w:val="00304B53"/>
    <w:rsid w:val="00305A85"/>
    <w:rsid w:val="00307EAB"/>
    <w:rsid w:val="00310AC4"/>
    <w:rsid w:val="00310B9E"/>
    <w:rsid w:val="00310C48"/>
    <w:rsid w:val="00310E57"/>
    <w:rsid w:val="00314643"/>
    <w:rsid w:val="003236A6"/>
    <w:rsid w:val="00323E61"/>
    <w:rsid w:val="00324595"/>
    <w:rsid w:val="00324FCC"/>
    <w:rsid w:val="003251F8"/>
    <w:rsid w:val="00325264"/>
    <w:rsid w:val="003258DC"/>
    <w:rsid w:val="00326D35"/>
    <w:rsid w:val="003275BE"/>
    <w:rsid w:val="00327C3F"/>
    <w:rsid w:val="00330734"/>
    <w:rsid w:val="00331B3E"/>
    <w:rsid w:val="0033209E"/>
    <w:rsid w:val="0033385F"/>
    <w:rsid w:val="00335057"/>
    <w:rsid w:val="00336215"/>
    <w:rsid w:val="00337E55"/>
    <w:rsid w:val="00341031"/>
    <w:rsid w:val="003414CC"/>
    <w:rsid w:val="00345150"/>
    <w:rsid w:val="00345332"/>
    <w:rsid w:val="00345A31"/>
    <w:rsid w:val="00346F80"/>
    <w:rsid w:val="003540F6"/>
    <w:rsid w:val="003547AD"/>
    <w:rsid w:val="003551D0"/>
    <w:rsid w:val="00356382"/>
    <w:rsid w:val="00356E17"/>
    <w:rsid w:val="00357179"/>
    <w:rsid w:val="003576C7"/>
    <w:rsid w:val="00357B33"/>
    <w:rsid w:val="00362E94"/>
    <w:rsid w:val="00362FA3"/>
    <w:rsid w:val="00364018"/>
    <w:rsid w:val="003640F8"/>
    <w:rsid w:val="00364A00"/>
    <w:rsid w:val="00371400"/>
    <w:rsid w:val="0037158E"/>
    <w:rsid w:val="0037293D"/>
    <w:rsid w:val="00376937"/>
    <w:rsid w:val="00377FDF"/>
    <w:rsid w:val="00381290"/>
    <w:rsid w:val="00383C8E"/>
    <w:rsid w:val="003901F5"/>
    <w:rsid w:val="003921CC"/>
    <w:rsid w:val="0039220D"/>
    <w:rsid w:val="00392784"/>
    <w:rsid w:val="00393F3D"/>
    <w:rsid w:val="003941BE"/>
    <w:rsid w:val="0039444F"/>
    <w:rsid w:val="0039458A"/>
    <w:rsid w:val="003973BF"/>
    <w:rsid w:val="00397B7B"/>
    <w:rsid w:val="003A26F1"/>
    <w:rsid w:val="003A65A5"/>
    <w:rsid w:val="003B1533"/>
    <w:rsid w:val="003B2C9A"/>
    <w:rsid w:val="003B4B16"/>
    <w:rsid w:val="003C0F98"/>
    <w:rsid w:val="003C1A7D"/>
    <w:rsid w:val="003C4833"/>
    <w:rsid w:val="003C583F"/>
    <w:rsid w:val="003C58AF"/>
    <w:rsid w:val="003C655E"/>
    <w:rsid w:val="003C7324"/>
    <w:rsid w:val="003D04D5"/>
    <w:rsid w:val="003D1530"/>
    <w:rsid w:val="003D3877"/>
    <w:rsid w:val="003D638D"/>
    <w:rsid w:val="003D6597"/>
    <w:rsid w:val="003D674A"/>
    <w:rsid w:val="003E0AE1"/>
    <w:rsid w:val="003E164F"/>
    <w:rsid w:val="003E6368"/>
    <w:rsid w:val="003E7F40"/>
    <w:rsid w:val="003E7F50"/>
    <w:rsid w:val="003F5627"/>
    <w:rsid w:val="0040011D"/>
    <w:rsid w:val="00400653"/>
    <w:rsid w:val="00401B15"/>
    <w:rsid w:val="00401D15"/>
    <w:rsid w:val="00405DFB"/>
    <w:rsid w:val="00406123"/>
    <w:rsid w:val="00406A5F"/>
    <w:rsid w:val="004074E7"/>
    <w:rsid w:val="00411C5F"/>
    <w:rsid w:val="004124A2"/>
    <w:rsid w:val="0042078A"/>
    <w:rsid w:val="00423B30"/>
    <w:rsid w:val="004256F5"/>
    <w:rsid w:val="00427405"/>
    <w:rsid w:val="00432017"/>
    <w:rsid w:val="00432FCD"/>
    <w:rsid w:val="00433CB9"/>
    <w:rsid w:val="00442977"/>
    <w:rsid w:val="00444167"/>
    <w:rsid w:val="004453F6"/>
    <w:rsid w:val="00447649"/>
    <w:rsid w:val="00447A44"/>
    <w:rsid w:val="0045122B"/>
    <w:rsid w:val="004519B4"/>
    <w:rsid w:val="00453641"/>
    <w:rsid w:val="0045483D"/>
    <w:rsid w:val="0045503D"/>
    <w:rsid w:val="00460910"/>
    <w:rsid w:val="004625DF"/>
    <w:rsid w:val="0046358F"/>
    <w:rsid w:val="004644D4"/>
    <w:rsid w:val="004647EE"/>
    <w:rsid w:val="004656D0"/>
    <w:rsid w:val="00466A97"/>
    <w:rsid w:val="00466DC2"/>
    <w:rsid w:val="004701E0"/>
    <w:rsid w:val="0047125D"/>
    <w:rsid w:val="0047344F"/>
    <w:rsid w:val="00474695"/>
    <w:rsid w:val="00476805"/>
    <w:rsid w:val="0047726D"/>
    <w:rsid w:val="00477F50"/>
    <w:rsid w:val="0048072B"/>
    <w:rsid w:val="00481CFF"/>
    <w:rsid w:val="00482260"/>
    <w:rsid w:val="00483403"/>
    <w:rsid w:val="004857F2"/>
    <w:rsid w:val="00487675"/>
    <w:rsid w:val="00487BD4"/>
    <w:rsid w:val="00490368"/>
    <w:rsid w:val="00492488"/>
    <w:rsid w:val="00493452"/>
    <w:rsid w:val="00494A38"/>
    <w:rsid w:val="004A425E"/>
    <w:rsid w:val="004A5ECE"/>
    <w:rsid w:val="004A7515"/>
    <w:rsid w:val="004B0631"/>
    <w:rsid w:val="004B729D"/>
    <w:rsid w:val="004C2A65"/>
    <w:rsid w:val="004C518F"/>
    <w:rsid w:val="004C547D"/>
    <w:rsid w:val="004C6E7C"/>
    <w:rsid w:val="004C7F17"/>
    <w:rsid w:val="004D0596"/>
    <w:rsid w:val="004D18DC"/>
    <w:rsid w:val="004D7212"/>
    <w:rsid w:val="004E045C"/>
    <w:rsid w:val="004E38C3"/>
    <w:rsid w:val="004E4C7A"/>
    <w:rsid w:val="004E4CD1"/>
    <w:rsid w:val="004E6DCF"/>
    <w:rsid w:val="004E7A67"/>
    <w:rsid w:val="004F0730"/>
    <w:rsid w:val="004F1B2D"/>
    <w:rsid w:val="004F501D"/>
    <w:rsid w:val="004F6596"/>
    <w:rsid w:val="004F683F"/>
    <w:rsid w:val="0050205B"/>
    <w:rsid w:val="00503F63"/>
    <w:rsid w:val="00506353"/>
    <w:rsid w:val="0050735B"/>
    <w:rsid w:val="005143CF"/>
    <w:rsid w:val="005152CB"/>
    <w:rsid w:val="00516036"/>
    <w:rsid w:val="0051768B"/>
    <w:rsid w:val="0052023E"/>
    <w:rsid w:val="005220CB"/>
    <w:rsid w:val="00522C48"/>
    <w:rsid w:val="00523A00"/>
    <w:rsid w:val="0052705E"/>
    <w:rsid w:val="00527173"/>
    <w:rsid w:val="0053134E"/>
    <w:rsid w:val="00533D5C"/>
    <w:rsid w:val="005358F6"/>
    <w:rsid w:val="005415F1"/>
    <w:rsid w:val="0054208C"/>
    <w:rsid w:val="005422FE"/>
    <w:rsid w:val="00552689"/>
    <w:rsid w:val="00553D8A"/>
    <w:rsid w:val="0055484A"/>
    <w:rsid w:val="005549DA"/>
    <w:rsid w:val="00554F64"/>
    <w:rsid w:val="00555432"/>
    <w:rsid w:val="00555F95"/>
    <w:rsid w:val="00556323"/>
    <w:rsid w:val="00556DC9"/>
    <w:rsid w:val="0056160D"/>
    <w:rsid w:val="005649DF"/>
    <w:rsid w:val="005649EC"/>
    <w:rsid w:val="00564F76"/>
    <w:rsid w:val="005653AA"/>
    <w:rsid w:val="0056797E"/>
    <w:rsid w:val="00570D09"/>
    <w:rsid w:val="005714E0"/>
    <w:rsid w:val="0057210A"/>
    <w:rsid w:val="0057238C"/>
    <w:rsid w:val="00572B33"/>
    <w:rsid w:val="0057319D"/>
    <w:rsid w:val="00575755"/>
    <w:rsid w:val="00576062"/>
    <w:rsid w:val="00577A7B"/>
    <w:rsid w:val="00580FDB"/>
    <w:rsid w:val="00581752"/>
    <w:rsid w:val="00584EFA"/>
    <w:rsid w:val="00587181"/>
    <w:rsid w:val="00590B5F"/>
    <w:rsid w:val="00590DB0"/>
    <w:rsid w:val="005912BF"/>
    <w:rsid w:val="00594A0C"/>
    <w:rsid w:val="0059595A"/>
    <w:rsid w:val="00595FD1"/>
    <w:rsid w:val="0059720B"/>
    <w:rsid w:val="005A0788"/>
    <w:rsid w:val="005A0FF7"/>
    <w:rsid w:val="005A2852"/>
    <w:rsid w:val="005A5220"/>
    <w:rsid w:val="005B1574"/>
    <w:rsid w:val="005B21D4"/>
    <w:rsid w:val="005B3BB3"/>
    <w:rsid w:val="005B5ABB"/>
    <w:rsid w:val="005B6737"/>
    <w:rsid w:val="005B696D"/>
    <w:rsid w:val="005C1D18"/>
    <w:rsid w:val="005C1E9A"/>
    <w:rsid w:val="005C1EC7"/>
    <w:rsid w:val="005C27FF"/>
    <w:rsid w:val="005C72BC"/>
    <w:rsid w:val="005D3CFA"/>
    <w:rsid w:val="005D41AB"/>
    <w:rsid w:val="005D5BF1"/>
    <w:rsid w:val="005D61ED"/>
    <w:rsid w:val="005D6C83"/>
    <w:rsid w:val="005E00CB"/>
    <w:rsid w:val="005E111C"/>
    <w:rsid w:val="005E1D4C"/>
    <w:rsid w:val="005E2606"/>
    <w:rsid w:val="005E315C"/>
    <w:rsid w:val="005E3208"/>
    <w:rsid w:val="005E3859"/>
    <w:rsid w:val="005E3F87"/>
    <w:rsid w:val="005E4191"/>
    <w:rsid w:val="005E46B8"/>
    <w:rsid w:val="005E60EB"/>
    <w:rsid w:val="005F40E5"/>
    <w:rsid w:val="006030AC"/>
    <w:rsid w:val="00607CB4"/>
    <w:rsid w:val="00610D6B"/>
    <w:rsid w:val="0061117A"/>
    <w:rsid w:val="006114A2"/>
    <w:rsid w:val="006144AC"/>
    <w:rsid w:val="00616687"/>
    <w:rsid w:val="00621D4C"/>
    <w:rsid w:val="00623115"/>
    <w:rsid w:val="00624D08"/>
    <w:rsid w:val="00624E07"/>
    <w:rsid w:val="00625798"/>
    <w:rsid w:val="00625D2C"/>
    <w:rsid w:val="00626E2F"/>
    <w:rsid w:val="0062731C"/>
    <w:rsid w:val="0063103A"/>
    <w:rsid w:val="00631507"/>
    <w:rsid w:val="00631BB0"/>
    <w:rsid w:val="00631EF0"/>
    <w:rsid w:val="00636FB5"/>
    <w:rsid w:val="006413C5"/>
    <w:rsid w:val="00641963"/>
    <w:rsid w:val="0064227E"/>
    <w:rsid w:val="00645898"/>
    <w:rsid w:val="00646143"/>
    <w:rsid w:val="00650B51"/>
    <w:rsid w:val="006548F9"/>
    <w:rsid w:val="00654994"/>
    <w:rsid w:val="0065729B"/>
    <w:rsid w:val="006643CA"/>
    <w:rsid w:val="00665F30"/>
    <w:rsid w:val="0066678A"/>
    <w:rsid w:val="00672158"/>
    <w:rsid w:val="00672B96"/>
    <w:rsid w:val="00673E33"/>
    <w:rsid w:val="006746A0"/>
    <w:rsid w:val="006800C1"/>
    <w:rsid w:val="0068050B"/>
    <w:rsid w:val="0068102A"/>
    <w:rsid w:val="006816AA"/>
    <w:rsid w:val="006866A1"/>
    <w:rsid w:val="00687F28"/>
    <w:rsid w:val="00691863"/>
    <w:rsid w:val="006929A8"/>
    <w:rsid w:val="00693A43"/>
    <w:rsid w:val="006948B9"/>
    <w:rsid w:val="006A1460"/>
    <w:rsid w:val="006A1C4E"/>
    <w:rsid w:val="006A40D2"/>
    <w:rsid w:val="006A59CB"/>
    <w:rsid w:val="006A7667"/>
    <w:rsid w:val="006B09AC"/>
    <w:rsid w:val="006B18CD"/>
    <w:rsid w:val="006B54DC"/>
    <w:rsid w:val="006B5E81"/>
    <w:rsid w:val="006C028C"/>
    <w:rsid w:val="006C0308"/>
    <w:rsid w:val="006C0691"/>
    <w:rsid w:val="006C0834"/>
    <w:rsid w:val="006C3E18"/>
    <w:rsid w:val="006C5CAF"/>
    <w:rsid w:val="006C5D43"/>
    <w:rsid w:val="006C6E50"/>
    <w:rsid w:val="006C752C"/>
    <w:rsid w:val="006C7822"/>
    <w:rsid w:val="006C79E4"/>
    <w:rsid w:val="006D0BF3"/>
    <w:rsid w:val="006D1656"/>
    <w:rsid w:val="006D250B"/>
    <w:rsid w:val="006D263B"/>
    <w:rsid w:val="006D2A55"/>
    <w:rsid w:val="006D5FDB"/>
    <w:rsid w:val="006D69C9"/>
    <w:rsid w:val="006E0C71"/>
    <w:rsid w:val="006E1E17"/>
    <w:rsid w:val="006E1EAF"/>
    <w:rsid w:val="006E342C"/>
    <w:rsid w:val="006E4526"/>
    <w:rsid w:val="006E61A7"/>
    <w:rsid w:val="006E7FF5"/>
    <w:rsid w:val="006F0CBE"/>
    <w:rsid w:val="006F1E0B"/>
    <w:rsid w:val="006F375D"/>
    <w:rsid w:val="006F3D08"/>
    <w:rsid w:val="006F624E"/>
    <w:rsid w:val="006F64AA"/>
    <w:rsid w:val="006F77C9"/>
    <w:rsid w:val="00700A43"/>
    <w:rsid w:val="00701466"/>
    <w:rsid w:val="00701FFD"/>
    <w:rsid w:val="007035C7"/>
    <w:rsid w:val="00704D45"/>
    <w:rsid w:val="00704F72"/>
    <w:rsid w:val="007054E0"/>
    <w:rsid w:val="00710828"/>
    <w:rsid w:val="00711E38"/>
    <w:rsid w:val="00711E4F"/>
    <w:rsid w:val="00712BC8"/>
    <w:rsid w:val="0071353D"/>
    <w:rsid w:val="00713EB5"/>
    <w:rsid w:val="00714374"/>
    <w:rsid w:val="00716BBC"/>
    <w:rsid w:val="007206C9"/>
    <w:rsid w:val="00720737"/>
    <w:rsid w:val="00720947"/>
    <w:rsid w:val="00721336"/>
    <w:rsid w:val="00721CA9"/>
    <w:rsid w:val="00721D2C"/>
    <w:rsid w:val="00722332"/>
    <w:rsid w:val="00725375"/>
    <w:rsid w:val="00727494"/>
    <w:rsid w:val="007304B1"/>
    <w:rsid w:val="007317EC"/>
    <w:rsid w:val="0073282C"/>
    <w:rsid w:val="00735429"/>
    <w:rsid w:val="0074057A"/>
    <w:rsid w:val="00741655"/>
    <w:rsid w:val="00742F0F"/>
    <w:rsid w:val="007446F0"/>
    <w:rsid w:val="007463B4"/>
    <w:rsid w:val="007500DC"/>
    <w:rsid w:val="00750EB6"/>
    <w:rsid w:val="007514B1"/>
    <w:rsid w:val="00751DFB"/>
    <w:rsid w:val="007526B9"/>
    <w:rsid w:val="00752A3E"/>
    <w:rsid w:val="00754F54"/>
    <w:rsid w:val="00760331"/>
    <w:rsid w:val="00760A9E"/>
    <w:rsid w:val="00760DA3"/>
    <w:rsid w:val="007629CD"/>
    <w:rsid w:val="007632A8"/>
    <w:rsid w:val="00772ADE"/>
    <w:rsid w:val="00772B5A"/>
    <w:rsid w:val="00772BCF"/>
    <w:rsid w:val="00775DF7"/>
    <w:rsid w:val="0078048F"/>
    <w:rsid w:val="00781AFA"/>
    <w:rsid w:val="00781B32"/>
    <w:rsid w:val="00782961"/>
    <w:rsid w:val="007833CE"/>
    <w:rsid w:val="007838CA"/>
    <w:rsid w:val="00783CAA"/>
    <w:rsid w:val="00784EAE"/>
    <w:rsid w:val="007859AB"/>
    <w:rsid w:val="0078660D"/>
    <w:rsid w:val="00786BD6"/>
    <w:rsid w:val="007906E7"/>
    <w:rsid w:val="00790F61"/>
    <w:rsid w:val="00793931"/>
    <w:rsid w:val="00794B5F"/>
    <w:rsid w:val="00794C44"/>
    <w:rsid w:val="00794F2C"/>
    <w:rsid w:val="0079532C"/>
    <w:rsid w:val="0079559F"/>
    <w:rsid w:val="00795636"/>
    <w:rsid w:val="007973D2"/>
    <w:rsid w:val="007A1ADE"/>
    <w:rsid w:val="007A1C81"/>
    <w:rsid w:val="007A1FD6"/>
    <w:rsid w:val="007A5E4E"/>
    <w:rsid w:val="007A6FAF"/>
    <w:rsid w:val="007A7E49"/>
    <w:rsid w:val="007B105F"/>
    <w:rsid w:val="007B11AC"/>
    <w:rsid w:val="007B3800"/>
    <w:rsid w:val="007B51A7"/>
    <w:rsid w:val="007C3CDD"/>
    <w:rsid w:val="007C5631"/>
    <w:rsid w:val="007C5B44"/>
    <w:rsid w:val="007C5DFC"/>
    <w:rsid w:val="007C7173"/>
    <w:rsid w:val="007D063D"/>
    <w:rsid w:val="007D2057"/>
    <w:rsid w:val="007D2482"/>
    <w:rsid w:val="007D3CAE"/>
    <w:rsid w:val="007D5CA7"/>
    <w:rsid w:val="007D5DDF"/>
    <w:rsid w:val="007D75D6"/>
    <w:rsid w:val="007E0CAC"/>
    <w:rsid w:val="007E1988"/>
    <w:rsid w:val="007E2989"/>
    <w:rsid w:val="007E2FE0"/>
    <w:rsid w:val="007E3A46"/>
    <w:rsid w:val="007E41D8"/>
    <w:rsid w:val="007F0347"/>
    <w:rsid w:val="007F0F13"/>
    <w:rsid w:val="007F1156"/>
    <w:rsid w:val="007F1897"/>
    <w:rsid w:val="007F264B"/>
    <w:rsid w:val="007F36E6"/>
    <w:rsid w:val="007F6838"/>
    <w:rsid w:val="007F6B44"/>
    <w:rsid w:val="007F7D90"/>
    <w:rsid w:val="00800047"/>
    <w:rsid w:val="00802667"/>
    <w:rsid w:val="00802C7E"/>
    <w:rsid w:val="008030A6"/>
    <w:rsid w:val="00804ABF"/>
    <w:rsid w:val="0080637B"/>
    <w:rsid w:val="00810668"/>
    <w:rsid w:val="0081082A"/>
    <w:rsid w:val="00810B1C"/>
    <w:rsid w:val="0081140D"/>
    <w:rsid w:val="00812AEA"/>
    <w:rsid w:val="0081373E"/>
    <w:rsid w:val="00815E2E"/>
    <w:rsid w:val="00816248"/>
    <w:rsid w:val="00816765"/>
    <w:rsid w:val="00820A62"/>
    <w:rsid w:val="00820EAA"/>
    <w:rsid w:val="008227EA"/>
    <w:rsid w:val="008233D9"/>
    <w:rsid w:val="00824376"/>
    <w:rsid w:val="00824620"/>
    <w:rsid w:val="00824D17"/>
    <w:rsid w:val="0083018B"/>
    <w:rsid w:val="0083110C"/>
    <w:rsid w:val="0083190C"/>
    <w:rsid w:val="00835706"/>
    <w:rsid w:val="00836B4F"/>
    <w:rsid w:val="0084566D"/>
    <w:rsid w:val="00845C09"/>
    <w:rsid w:val="00845D65"/>
    <w:rsid w:val="00847127"/>
    <w:rsid w:val="008500A1"/>
    <w:rsid w:val="00851C1F"/>
    <w:rsid w:val="00853782"/>
    <w:rsid w:val="00853834"/>
    <w:rsid w:val="00853AA5"/>
    <w:rsid w:val="00855559"/>
    <w:rsid w:val="00855C17"/>
    <w:rsid w:val="00856346"/>
    <w:rsid w:val="00861E8D"/>
    <w:rsid w:val="00863676"/>
    <w:rsid w:val="008644BD"/>
    <w:rsid w:val="0086689E"/>
    <w:rsid w:val="00872E5F"/>
    <w:rsid w:val="008750CC"/>
    <w:rsid w:val="008757D1"/>
    <w:rsid w:val="00876204"/>
    <w:rsid w:val="00881C1F"/>
    <w:rsid w:val="00881F3E"/>
    <w:rsid w:val="00882D79"/>
    <w:rsid w:val="00886B41"/>
    <w:rsid w:val="008904C9"/>
    <w:rsid w:val="00891C4C"/>
    <w:rsid w:val="00893860"/>
    <w:rsid w:val="00893A6A"/>
    <w:rsid w:val="0089461C"/>
    <w:rsid w:val="008948B9"/>
    <w:rsid w:val="00896693"/>
    <w:rsid w:val="00896DDF"/>
    <w:rsid w:val="0089772A"/>
    <w:rsid w:val="0089784C"/>
    <w:rsid w:val="008978E1"/>
    <w:rsid w:val="00897B6F"/>
    <w:rsid w:val="008A1493"/>
    <w:rsid w:val="008A266E"/>
    <w:rsid w:val="008A2764"/>
    <w:rsid w:val="008A4D2F"/>
    <w:rsid w:val="008A5B11"/>
    <w:rsid w:val="008A7E96"/>
    <w:rsid w:val="008B11DE"/>
    <w:rsid w:val="008B1981"/>
    <w:rsid w:val="008B1D83"/>
    <w:rsid w:val="008B3806"/>
    <w:rsid w:val="008B7646"/>
    <w:rsid w:val="008C2DB5"/>
    <w:rsid w:val="008C5D42"/>
    <w:rsid w:val="008C6061"/>
    <w:rsid w:val="008C728C"/>
    <w:rsid w:val="008C77A3"/>
    <w:rsid w:val="008C7C6C"/>
    <w:rsid w:val="008C7DF2"/>
    <w:rsid w:val="008C7E92"/>
    <w:rsid w:val="008D08B9"/>
    <w:rsid w:val="008D0E91"/>
    <w:rsid w:val="008D141D"/>
    <w:rsid w:val="008D1727"/>
    <w:rsid w:val="008D2B39"/>
    <w:rsid w:val="008D2CF3"/>
    <w:rsid w:val="008D67E5"/>
    <w:rsid w:val="008D6C11"/>
    <w:rsid w:val="008E24B0"/>
    <w:rsid w:val="008E33A5"/>
    <w:rsid w:val="008E3455"/>
    <w:rsid w:val="008E406C"/>
    <w:rsid w:val="008E48BB"/>
    <w:rsid w:val="008E4ABD"/>
    <w:rsid w:val="008E6279"/>
    <w:rsid w:val="008F00B8"/>
    <w:rsid w:val="008F08D8"/>
    <w:rsid w:val="008F1910"/>
    <w:rsid w:val="008F32B9"/>
    <w:rsid w:val="008F6B42"/>
    <w:rsid w:val="008F71B2"/>
    <w:rsid w:val="008F7857"/>
    <w:rsid w:val="008F794B"/>
    <w:rsid w:val="0090047B"/>
    <w:rsid w:val="00901524"/>
    <w:rsid w:val="0090154A"/>
    <w:rsid w:val="00901C62"/>
    <w:rsid w:val="00902996"/>
    <w:rsid w:val="00902E6A"/>
    <w:rsid w:val="009051B7"/>
    <w:rsid w:val="009069B4"/>
    <w:rsid w:val="00907851"/>
    <w:rsid w:val="00911877"/>
    <w:rsid w:val="0091199B"/>
    <w:rsid w:val="00912A2F"/>
    <w:rsid w:val="009134B9"/>
    <w:rsid w:val="00913865"/>
    <w:rsid w:val="00916583"/>
    <w:rsid w:val="00917530"/>
    <w:rsid w:val="00917978"/>
    <w:rsid w:val="00920E0F"/>
    <w:rsid w:val="009212D5"/>
    <w:rsid w:val="00921B83"/>
    <w:rsid w:val="00924335"/>
    <w:rsid w:val="00925E65"/>
    <w:rsid w:val="00925EE8"/>
    <w:rsid w:val="00927385"/>
    <w:rsid w:val="009274FA"/>
    <w:rsid w:val="00927F7E"/>
    <w:rsid w:val="009300D6"/>
    <w:rsid w:val="00931B4E"/>
    <w:rsid w:val="009328F4"/>
    <w:rsid w:val="00933218"/>
    <w:rsid w:val="0093478D"/>
    <w:rsid w:val="00935841"/>
    <w:rsid w:val="009367CC"/>
    <w:rsid w:val="00936CD3"/>
    <w:rsid w:val="0094086B"/>
    <w:rsid w:val="00940B07"/>
    <w:rsid w:val="00941AD5"/>
    <w:rsid w:val="00943D9C"/>
    <w:rsid w:val="00945A89"/>
    <w:rsid w:val="00946F62"/>
    <w:rsid w:val="00950EA5"/>
    <w:rsid w:val="0095222B"/>
    <w:rsid w:val="009546A0"/>
    <w:rsid w:val="00956582"/>
    <w:rsid w:val="009572A3"/>
    <w:rsid w:val="009634AB"/>
    <w:rsid w:val="0096370C"/>
    <w:rsid w:val="00964759"/>
    <w:rsid w:val="0096775F"/>
    <w:rsid w:val="00967C80"/>
    <w:rsid w:val="00967CE6"/>
    <w:rsid w:val="009700D0"/>
    <w:rsid w:val="00972637"/>
    <w:rsid w:val="0097404E"/>
    <w:rsid w:val="00976068"/>
    <w:rsid w:val="00977EAD"/>
    <w:rsid w:val="009803CB"/>
    <w:rsid w:val="009804BC"/>
    <w:rsid w:val="00980567"/>
    <w:rsid w:val="00981494"/>
    <w:rsid w:val="00983217"/>
    <w:rsid w:val="00983E0B"/>
    <w:rsid w:val="00984B9D"/>
    <w:rsid w:val="009876E5"/>
    <w:rsid w:val="0099085D"/>
    <w:rsid w:val="00993CD3"/>
    <w:rsid w:val="00996BED"/>
    <w:rsid w:val="00997EE4"/>
    <w:rsid w:val="009A0380"/>
    <w:rsid w:val="009A1BCD"/>
    <w:rsid w:val="009A21AD"/>
    <w:rsid w:val="009A22E1"/>
    <w:rsid w:val="009A2AE8"/>
    <w:rsid w:val="009A2B38"/>
    <w:rsid w:val="009A345F"/>
    <w:rsid w:val="009A3C35"/>
    <w:rsid w:val="009A55FD"/>
    <w:rsid w:val="009A6472"/>
    <w:rsid w:val="009A7C3F"/>
    <w:rsid w:val="009A7E32"/>
    <w:rsid w:val="009B0B5B"/>
    <w:rsid w:val="009B144D"/>
    <w:rsid w:val="009B2163"/>
    <w:rsid w:val="009B3790"/>
    <w:rsid w:val="009B401A"/>
    <w:rsid w:val="009B4ACB"/>
    <w:rsid w:val="009B5718"/>
    <w:rsid w:val="009C0166"/>
    <w:rsid w:val="009C069A"/>
    <w:rsid w:val="009C26EC"/>
    <w:rsid w:val="009C416C"/>
    <w:rsid w:val="009C4182"/>
    <w:rsid w:val="009C4BB0"/>
    <w:rsid w:val="009C7AB6"/>
    <w:rsid w:val="009D00BC"/>
    <w:rsid w:val="009D0574"/>
    <w:rsid w:val="009D0C94"/>
    <w:rsid w:val="009D2BFB"/>
    <w:rsid w:val="009D2E20"/>
    <w:rsid w:val="009D5488"/>
    <w:rsid w:val="009D76BA"/>
    <w:rsid w:val="009D7769"/>
    <w:rsid w:val="009D795C"/>
    <w:rsid w:val="009E4399"/>
    <w:rsid w:val="009E4FEB"/>
    <w:rsid w:val="009E6B0D"/>
    <w:rsid w:val="009E770D"/>
    <w:rsid w:val="009E7AD3"/>
    <w:rsid w:val="009E7DEF"/>
    <w:rsid w:val="009F1210"/>
    <w:rsid w:val="009F193E"/>
    <w:rsid w:val="009F3732"/>
    <w:rsid w:val="00A011CC"/>
    <w:rsid w:val="00A06902"/>
    <w:rsid w:val="00A073AB"/>
    <w:rsid w:val="00A07A7D"/>
    <w:rsid w:val="00A121E4"/>
    <w:rsid w:val="00A14DE5"/>
    <w:rsid w:val="00A1790A"/>
    <w:rsid w:val="00A21AD4"/>
    <w:rsid w:val="00A21EC6"/>
    <w:rsid w:val="00A22B21"/>
    <w:rsid w:val="00A22D7A"/>
    <w:rsid w:val="00A22E52"/>
    <w:rsid w:val="00A243A6"/>
    <w:rsid w:val="00A25A12"/>
    <w:rsid w:val="00A27B5F"/>
    <w:rsid w:val="00A3088B"/>
    <w:rsid w:val="00A33956"/>
    <w:rsid w:val="00A33E74"/>
    <w:rsid w:val="00A34C24"/>
    <w:rsid w:val="00A34D08"/>
    <w:rsid w:val="00A34EBE"/>
    <w:rsid w:val="00A34ED7"/>
    <w:rsid w:val="00A353C2"/>
    <w:rsid w:val="00A44176"/>
    <w:rsid w:val="00A455CF"/>
    <w:rsid w:val="00A51AD7"/>
    <w:rsid w:val="00A53352"/>
    <w:rsid w:val="00A54AE6"/>
    <w:rsid w:val="00A5526B"/>
    <w:rsid w:val="00A563B8"/>
    <w:rsid w:val="00A57A60"/>
    <w:rsid w:val="00A60A99"/>
    <w:rsid w:val="00A60FF3"/>
    <w:rsid w:val="00A6342A"/>
    <w:rsid w:val="00A66C01"/>
    <w:rsid w:val="00A70ED6"/>
    <w:rsid w:val="00A74C89"/>
    <w:rsid w:val="00A76BAB"/>
    <w:rsid w:val="00A77116"/>
    <w:rsid w:val="00A80A20"/>
    <w:rsid w:val="00A80AC0"/>
    <w:rsid w:val="00A8260B"/>
    <w:rsid w:val="00A83797"/>
    <w:rsid w:val="00A83EAB"/>
    <w:rsid w:val="00A844D8"/>
    <w:rsid w:val="00A857C8"/>
    <w:rsid w:val="00A90CAC"/>
    <w:rsid w:val="00A91636"/>
    <w:rsid w:val="00A91793"/>
    <w:rsid w:val="00A92665"/>
    <w:rsid w:val="00A92C39"/>
    <w:rsid w:val="00A93220"/>
    <w:rsid w:val="00A932BF"/>
    <w:rsid w:val="00A94B98"/>
    <w:rsid w:val="00A9776E"/>
    <w:rsid w:val="00AA1116"/>
    <w:rsid w:val="00AA3848"/>
    <w:rsid w:val="00AA3C7C"/>
    <w:rsid w:val="00AA45C3"/>
    <w:rsid w:val="00AA73F2"/>
    <w:rsid w:val="00AA7BFA"/>
    <w:rsid w:val="00AB4D68"/>
    <w:rsid w:val="00AB51C3"/>
    <w:rsid w:val="00AB54AE"/>
    <w:rsid w:val="00AB72A0"/>
    <w:rsid w:val="00AC07C5"/>
    <w:rsid w:val="00AC29B6"/>
    <w:rsid w:val="00AC32C1"/>
    <w:rsid w:val="00AC40B5"/>
    <w:rsid w:val="00AC4F4D"/>
    <w:rsid w:val="00AC58C9"/>
    <w:rsid w:val="00AD1236"/>
    <w:rsid w:val="00AD7047"/>
    <w:rsid w:val="00AE0DB5"/>
    <w:rsid w:val="00AE2D14"/>
    <w:rsid w:val="00AE30C7"/>
    <w:rsid w:val="00AE45C5"/>
    <w:rsid w:val="00AE45E2"/>
    <w:rsid w:val="00AE4678"/>
    <w:rsid w:val="00AE56AF"/>
    <w:rsid w:val="00AE7730"/>
    <w:rsid w:val="00AE7B04"/>
    <w:rsid w:val="00AF1697"/>
    <w:rsid w:val="00AF2498"/>
    <w:rsid w:val="00AF2C0E"/>
    <w:rsid w:val="00AF2E7A"/>
    <w:rsid w:val="00AF3C0A"/>
    <w:rsid w:val="00AF3F18"/>
    <w:rsid w:val="00AF596E"/>
    <w:rsid w:val="00AF5B8C"/>
    <w:rsid w:val="00AF7734"/>
    <w:rsid w:val="00B00149"/>
    <w:rsid w:val="00B0055E"/>
    <w:rsid w:val="00B00F93"/>
    <w:rsid w:val="00B01453"/>
    <w:rsid w:val="00B01588"/>
    <w:rsid w:val="00B05D69"/>
    <w:rsid w:val="00B07C84"/>
    <w:rsid w:val="00B109A1"/>
    <w:rsid w:val="00B1103F"/>
    <w:rsid w:val="00B1273C"/>
    <w:rsid w:val="00B13502"/>
    <w:rsid w:val="00B157C6"/>
    <w:rsid w:val="00B17347"/>
    <w:rsid w:val="00B17389"/>
    <w:rsid w:val="00B20153"/>
    <w:rsid w:val="00B20626"/>
    <w:rsid w:val="00B24B7C"/>
    <w:rsid w:val="00B25503"/>
    <w:rsid w:val="00B27BD1"/>
    <w:rsid w:val="00B302B1"/>
    <w:rsid w:val="00B31FC3"/>
    <w:rsid w:val="00B37ED9"/>
    <w:rsid w:val="00B40BF0"/>
    <w:rsid w:val="00B4132C"/>
    <w:rsid w:val="00B41B76"/>
    <w:rsid w:val="00B429F6"/>
    <w:rsid w:val="00B54467"/>
    <w:rsid w:val="00B56AB7"/>
    <w:rsid w:val="00B5765A"/>
    <w:rsid w:val="00B600CF"/>
    <w:rsid w:val="00B616B5"/>
    <w:rsid w:val="00B62B19"/>
    <w:rsid w:val="00B668A2"/>
    <w:rsid w:val="00B73594"/>
    <w:rsid w:val="00B74582"/>
    <w:rsid w:val="00B74655"/>
    <w:rsid w:val="00B80FDD"/>
    <w:rsid w:val="00B82167"/>
    <w:rsid w:val="00B82832"/>
    <w:rsid w:val="00B832EC"/>
    <w:rsid w:val="00B83E41"/>
    <w:rsid w:val="00B84D68"/>
    <w:rsid w:val="00B86950"/>
    <w:rsid w:val="00B86C1D"/>
    <w:rsid w:val="00B907DA"/>
    <w:rsid w:val="00B940EC"/>
    <w:rsid w:val="00B94279"/>
    <w:rsid w:val="00B95549"/>
    <w:rsid w:val="00B95CF0"/>
    <w:rsid w:val="00B95FC3"/>
    <w:rsid w:val="00B9605E"/>
    <w:rsid w:val="00B968B6"/>
    <w:rsid w:val="00B974D1"/>
    <w:rsid w:val="00BA0DCF"/>
    <w:rsid w:val="00BA1847"/>
    <w:rsid w:val="00BA41F7"/>
    <w:rsid w:val="00BA4E61"/>
    <w:rsid w:val="00BA6464"/>
    <w:rsid w:val="00BB1585"/>
    <w:rsid w:val="00BC1D1A"/>
    <w:rsid w:val="00BC2F33"/>
    <w:rsid w:val="00BC356D"/>
    <w:rsid w:val="00BC740C"/>
    <w:rsid w:val="00BD0386"/>
    <w:rsid w:val="00BD1ECC"/>
    <w:rsid w:val="00BD29DB"/>
    <w:rsid w:val="00BD3824"/>
    <w:rsid w:val="00BD66E2"/>
    <w:rsid w:val="00BE1BFF"/>
    <w:rsid w:val="00BE291D"/>
    <w:rsid w:val="00BE436D"/>
    <w:rsid w:val="00BE4A70"/>
    <w:rsid w:val="00BF0A5D"/>
    <w:rsid w:val="00BF2420"/>
    <w:rsid w:val="00BF39CE"/>
    <w:rsid w:val="00BF4F5C"/>
    <w:rsid w:val="00BF51B3"/>
    <w:rsid w:val="00BF5A2D"/>
    <w:rsid w:val="00C01B42"/>
    <w:rsid w:val="00C02885"/>
    <w:rsid w:val="00C044F1"/>
    <w:rsid w:val="00C04F88"/>
    <w:rsid w:val="00C068D4"/>
    <w:rsid w:val="00C06FF9"/>
    <w:rsid w:val="00C07B70"/>
    <w:rsid w:val="00C107BC"/>
    <w:rsid w:val="00C13036"/>
    <w:rsid w:val="00C152C7"/>
    <w:rsid w:val="00C1588C"/>
    <w:rsid w:val="00C15CF1"/>
    <w:rsid w:val="00C1643C"/>
    <w:rsid w:val="00C169D7"/>
    <w:rsid w:val="00C1714E"/>
    <w:rsid w:val="00C201A0"/>
    <w:rsid w:val="00C21FFA"/>
    <w:rsid w:val="00C24C97"/>
    <w:rsid w:val="00C2594E"/>
    <w:rsid w:val="00C273B0"/>
    <w:rsid w:val="00C2748E"/>
    <w:rsid w:val="00C2779F"/>
    <w:rsid w:val="00C27EA3"/>
    <w:rsid w:val="00C31AD3"/>
    <w:rsid w:val="00C32A9E"/>
    <w:rsid w:val="00C336A8"/>
    <w:rsid w:val="00C33D39"/>
    <w:rsid w:val="00C36693"/>
    <w:rsid w:val="00C37997"/>
    <w:rsid w:val="00C4241E"/>
    <w:rsid w:val="00C4422C"/>
    <w:rsid w:val="00C44654"/>
    <w:rsid w:val="00C45D67"/>
    <w:rsid w:val="00C4602E"/>
    <w:rsid w:val="00C471A9"/>
    <w:rsid w:val="00C474E0"/>
    <w:rsid w:val="00C47553"/>
    <w:rsid w:val="00C47925"/>
    <w:rsid w:val="00C47E34"/>
    <w:rsid w:val="00C50BDB"/>
    <w:rsid w:val="00C51577"/>
    <w:rsid w:val="00C524BD"/>
    <w:rsid w:val="00C5264E"/>
    <w:rsid w:val="00C526A3"/>
    <w:rsid w:val="00C531E8"/>
    <w:rsid w:val="00C53B16"/>
    <w:rsid w:val="00C55DA2"/>
    <w:rsid w:val="00C5659E"/>
    <w:rsid w:val="00C574E6"/>
    <w:rsid w:val="00C57FF0"/>
    <w:rsid w:val="00C6083E"/>
    <w:rsid w:val="00C62A0C"/>
    <w:rsid w:val="00C637B9"/>
    <w:rsid w:val="00C717FC"/>
    <w:rsid w:val="00C729F1"/>
    <w:rsid w:val="00C75337"/>
    <w:rsid w:val="00C753B1"/>
    <w:rsid w:val="00C82F90"/>
    <w:rsid w:val="00C83919"/>
    <w:rsid w:val="00C86FBE"/>
    <w:rsid w:val="00C87140"/>
    <w:rsid w:val="00C878CA"/>
    <w:rsid w:val="00C920AB"/>
    <w:rsid w:val="00C9300A"/>
    <w:rsid w:val="00C93D75"/>
    <w:rsid w:val="00C95BB9"/>
    <w:rsid w:val="00C979F1"/>
    <w:rsid w:val="00CA07A1"/>
    <w:rsid w:val="00CA16DB"/>
    <w:rsid w:val="00CA1960"/>
    <w:rsid w:val="00CA1CF1"/>
    <w:rsid w:val="00CA2C21"/>
    <w:rsid w:val="00CA3BFA"/>
    <w:rsid w:val="00CA5022"/>
    <w:rsid w:val="00CA72BC"/>
    <w:rsid w:val="00CB088D"/>
    <w:rsid w:val="00CB1CE2"/>
    <w:rsid w:val="00CB29C6"/>
    <w:rsid w:val="00CB4AEB"/>
    <w:rsid w:val="00CB5FAB"/>
    <w:rsid w:val="00CB7A12"/>
    <w:rsid w:val="00CB7F06"/>
    <w:rsid w:val="00CC3F80"/>
    <w:rsid w:val="00CC40F0"/>
    <w:rsid w:val="00CC41A1"/>
    <w:rsid w:val="00CC5A49"/>
    <w:rsid w:val="00CC5F61"/>
    <w:rsid w:val="00CC74C5"/>
    <w:rsid w:val="00CD0959"/>
    <w:rsid w:val="00CD0C0B"/>
    <w:rsid w:val="00CD19D4"/>
    <w:rsid w:val="00CD3B69"/>
    <w:rsid w:val="00CD47E8"/>
    <w:rsid w:val="00CD4868"/>
    <w:rsid w:val="00CD4E75"/>
    <w:rsid w:val="00CD5FC6"/>
    <w:rsid w:val="00CE001D"/>
    <w:rsid w:val="00CE151D"/>
    <w:rsid w:val="00CE223F"/>
    <w:rsid w:val="00CE3040"/>
    <w:rsid w:val="00CE34EF"/>
    <w:rsid w:val="00CE6194"/>
    <w:rsid w:val="00CE6E20"/>
    <w:rsid w:val="00CE79F7"/>
    <w:rsid w:val="00CF0801"/>
    <w:rsid w:val="00CF2FC6"/>
    <w:rsid w:val="00CF3C1E"/>
    <w:rsid w:val="00CF4988"/>
    <w:rsid w:val="00CF5ECD"/>
    <w:rsid w:val="00CF7BEE"/>
    <w:rsid w:val="00D008E4"/>
    <w:rsid w:val="00D01854"/>
    <w:rsid w:val="00D019BE"/>
    <w:rsid w:val="00D04864"/>
    <w:rsid w:val="00D052D9"/>
    <w:rsid w:val="00D05D64"/>
    <w:rsid w:val="00D06D30"/>
    <w:rsid w:val="00D115A1"/>
    <w:rsid w:val="00D11B7E"/>
    <w:rsid w:val="00D1502E"/>
    <w:rsid w:val="00D17754"/>
    <w:rsid w:val="00D20D53"/>
    <w:rsid w:val="00D22116"/>
    <w:rsid w:val="00D22EC1"/>
    <w:rsid w:val="00D23D3B"/>
    <w:rsid w:val="00D25B76"/>
    <w:rsid w:val="00D26D78"/>
    <w:rsid w:val="00D3163F"/>
    <w:rsid w:val="00D33393"/>
    <w:rsid w:val="00D3740D"/>
    <w:rsid w:val="00D42491"/>
    <w:rsid w:val="00D43D84"/>
    <w:rsid w:val="00D46CFD"/>
    <w:rsid w:val="00D46E13"/>
    <w:rsid w:val="00D47487"/>
    <w:rsid w:val="00D51EA7"/>
    <w:rsid w:val="00D528CB"/>
    <w:rsid w:val="00D532CD"/>
    <w:rsid w:val="00D573B1"/>
    <w:rsid w:val="00D574D3"/>
    <w:rsid w:val="00D608FF"/>
    <w:rsid w:val="00D61150"/>
    <w:rsid w:val="00D61538"/>
    <w:rsid w:val="00D633D5"/>
    <w:rsid w:val="00D63AEB"/>
    <w:rsid w:val="00D63EF7"/>
    <w:rsid w:val="00D65C27"/>
    <w:rsid w:val="00D65C56"/>
    <w:rsid w:val="00D701EC"/>
    <w:rsid w:val="00D70254"/>
    <w:rsid w:val="00D702D3"/>
    <w:rsid w:val="00D73455"/>
    <w:rsid w:val="00D7420A"/>
    <w:rsid w:val="00D74711"/>
    <w:rsid w:val="00D7632E"/>
    <w:rsid w:val="00D80421"/>
    <w:rsid w:val="00D82C24"/>
    <w:rsid w:val="00D851F7"/>
    <w:rsid w:val="00D861BC"/>
    <w:rsid w:val="00D872B3"/>
    <w:rsid w:val="00D87608"/>
    <w:rsid w:val="00D9051C"/>
    <w:rsid w:val="00D942CB"/>
    <w:rsid w:val="00D94A5E"/>
    <w:rsid w:val="00D94EAB"/>
    <w:rsid w:val="00D95D58"/>
    <w:rsid w:val="00D9736D"/>
    <w:rsid w:val="00DA1E22"/>
    <w:rsid w:val="00DA254B"/>
    <w:rsid w:val="00DA2AA4"/>
    <w:rsid w:val="00DA3403"/>
    <w:rsid w:val="00DA3628"/>
    <w:rsid w:val="00DA5F7C"/>
    <w:rsid w:val="00DA6361"/>
    <w:rsid w:val="00DA6FAA"/>
    <w:rsid w:val="00DB2C74"/>
    <w:rsid w:val="00DB6C1C"/>
    <w:rsid w:val="00DB6DE0"/>
    <w:rsid w:val="00DC0C7F"/>
    <w:rsid w:val="00DC111E"/>
    <w:rsid w:val="00DC1238"/>
    <w:rsid w:val="00DC4A87"/>
    <w:rsid w:val="00DC5AB6"/>
    <w:rsid w:val="00DC636C"/>
    <w:rsid w:val="00DC6AB3"/>
    <w:rsid w:val="00DD266A"/>
    <w:rsid w:val="00DD5765"/>
    <w:rsid w:val="00DE0D4C"/>
    <w:rsid w:val="00DE2A8F"/>
    <w:rsid w:val="00DE3E21"/>
    <w:rsid w:val="00DE43A2"/>
    <w:rsid w:val="00DE5BF8"/>
    <w:rsid w:val="00DE60D7"/>
    <w:rsid w:val="00DE6686"/>
    <w:rsid w:val="00DE7FFB"/>
    <w:rsid w:val="00DF00F2"/>
    <w:rsid w:val="00DF1911"/>
    <w:rsid w:val="00DF2B46"/>
    <w:rsid w:val="00DF36B4"/>
    <w:rsid w:val="00DF3DA1"/>
    <w:rsid w:val="00DF634B"/>
    <w:rsid w:val="00DF6948"/>
    <w:rsid w:val="00DF721B"/>
    <w:rsid w:val="00E0018C"/>
    <w:rsid w:val="00E004DE"/>
    <w:rsid w:val="00E01ECF"/>
    <w:rsid w:val="00E02C2D"/>
    <w:rsid w:val="00E02E85"/>
    <w:rsid w:val="00E0377C"/>
    <w:rsid w:val="00E04C59"/>
    <w:rsid w:val="00E04CAA"/>
    <w:rsid w:val="00E06B21"/>
    <w:rsid w:val="00E11D63"/>
    <w:rsid w:val="00E12930"/>
    <w:rsid w:val="00E1374C"/>
    <w:rsid w:val="00E14390"/>
    <w:rsid w:val="00E148CC"/>
    <w:rsid w:val="00E15F20"/>
    <w:rsid w:val="00E17972"/>
    <w:rsid w:val="00E20594"/>
    <w:rsid w:val="00E2356E"/>
    <w:rsid w:val="00E24B98"/>
    <w:rsid w:val="00E27C69"/>
    <w:rsid w:val="00E27CEB"/>
    <w:rsid w:val="00E30147"/>
    <w:rsid w:val="00E3173E"/>
    <w:rsid w:val="00E3180B"/>
    <w:rsid w:val="00E323F4"/>
    <w:rsid w:val="00E333C1"/>
    <w:rsid w:val="00E33C8B"/>
    <w:rsid w:val="00E344E9"/>
    <w:rsid w:val="00E346D2"/>
    <w:rsid w:val="00E35548"/>
    <w:rsid w:val="00E357DB"/>
    <w:rsid w:val="00E37293"/>
    <w:rsid w:val="00E37ACB"/>
    <w:rsid w:val="00E445B7"/>
    <w:rsid w:val="00E45430"/>
    <w:rsid w:val="00E4551F"/>
    <w:rsid w:val="00E46588"/>
    <w:rsid w:val="00E46E61"/>
    <w:rsid w:val="00E51B05"/>
    <w:rsid w:val="00E52B7D"/>
    <w:rsid w:val="00E52D19"/>
    <w:rsid w:val="00E541BA"/>
    <w:rsid w:val="00E5745F"/>
    <w:rsid w:val="00E63D5A"/>
    <w:rsid w:val="00E6450B"/>
    <w:rsid w:val="00E65C0D"/>
    <w:rsid w:val="00E666E6"/>
    <w:rsid w:val="00E67546"/>
    <w:rsid w:val="00E700A3"/>
    <w:rsid w:val="00E7228B"/>
    <w:rsid w:val="00E72474"/>
    <w:rsid w:val="00E724C9"/>
    <w:rsid w:val="00E7294C"/>
    <w:rsid w:val="00E7362F"/>
    <w:rsid w:val="00E738E6"/>
    <w:rsid w:val="00E743A5"/>
    <w:rsid w:val="00E74730"/>
    <w:rsid w:val="00E77A46"/>
    <w:rsid w:val="00E77C67"/>
    <w:rsid w:val="00E77F44"/>
    <w:rsid w:val="00E806D1"/>
    <w:rsid w:val="00E81904"/>
    <w:rsid w:val="00E82D9D"/>
    <w:rsid w:val="00E83339"/>
    <w:rsid w:val="00E870F1"/>
    <w:rsid w:val="00E87F4B"/>
    <w:rsid w:val="00E92048"/>
    <w:rsid w:val="00E925F1"/>
    <w:rsid w:val="00E9330C"/>
    <w:rsid w:val="00E93670"/>
    <w:rsid w:val="00E94343"/>
    <w:rsid w:val="00E969C4"/>
    <w:rsid w:val="00E973FA"/>
    <w:rsid w:val="00EA2820"/>
    <w:rsid w:val="00EA36F5"/>
    <w:rsid w:val="00EA3849"/>
    <w:rsid w:val="00EB021F"/>
    <w:rsid w:val="00EB3D3A"/>
    <w:rsid w:val="00EB4B5C"/>
    <w:rsid w:val="00EB5B70"/>
    <w:rsid w:val="00EC2A1C"/>
    <w:rsid w:val="00EC2CD5"/>
    <w:rsid w:val="00EC39D4"/>
    <w:rsid w:val="00EC6697"/>
    <w:rsid w:val="00EC6810"/>
    <w:rsid w:val="00ED0E9F"/>
    <w:rsid w:val="00ED52BA"/>
    <w:rsid w:val="00ED5C62"/>
    <w:rsid w:val="00ED7D8B"/>
    <w:rsid w:val="00EE1A71"/>
    <w:rsid w:val="00EE2333"/>
    <w:rsid w:val="00EE3BBF"/>
    <w:rsid w:val="00EE43FF"/>
    <w:rsid w:val="00EE4795"/>
    <w:rsid w:val="00EE5A72"/>
    <w:rsid w:val="00EE704B"/>
    <w:rsid w:val="00EE7D30"/>
    <w:rsid w:val="00EF0B61"/>
    <w:rsid w:val="00EF0C9D"/>
    <w:rsid w:val="00EF1FD4"/>
    <w:rsid w:val="00EF61C2"/>
    <w:rsid w:val="00EF63FC"/>
    <w:rsid w:val="00EF6F1A"/>
    <w:rsid w:val="00F00265"/>
    <w:rsid w:val="00F00478"/>
    <w:rsid w:val="00F01BF3"/>
    <w:rsid w:val="00F03667"/>
    <w:rsid w:val="00F049DD"/>
    <w:rsid w:val="00F10647"/>
    <w:rsid w:val="00F1099B"/>
    <w:rsid w:val="00F127A8"/>
    <w:rsid w:val="00F12FE2"/>
    <w:rsid w:val="00F14685"/>
    <w:rsid w:val="00F16AF9"/>
    <w:rsid w:val="00F16BFB"/>
    <w:rsid w:val="00F17357"/>
    <w:rsid w:val="00F17C7E"/>
    <w:rsid w:val="00F20DAC"/>
    <w:rsid w:val="00F213AC"/>
    <w:rsid w:val="00F2210E"/>
    <w:rsid w:val="00F24A5F"/>
    <w:rsid w:val="00F27F93"/>
    <w:rsid w:val="00F323A8"/>
    <w:rsid w:val="00F33FBE"/>
    <w:rsid w:val="00F36235"/>
    <w:rsid w:val="00F43320"/>
    <w:rsid w:val="00F437F4"/>
    <w:rsid w:val="00F44046"/>
    <w:rsid w:val="00F45E8B"/>
    <w:rsid w:val="00F47B17"/>
    <w:rsid w:val="00F47C67"/>
    <w:rsid w:val="00F54DDD"/>
    <w:rsid w:val="00F55A67"/>
    <w:rsid w:val="00F6205C"/>
    <w:rsid w:val="00F630FA"/>
    <w:rsid w:val="00F65500"/>
    <w:rsid w:val="00F66144"/>
    <w:rsid w:val="00F66F4A"/>
    <w:rsid w:val="00F6761E"/>
    <w:rsid w:val="00F67654"/>
    <w:rsid w:val="00F67BAB"/>
    <w:rsid w:val="00F70E9E"/>
    <w:rsid w:val="00F71941"/>
    <w:rsid w:val="00F71EC5"/>
    <w:rsid w:val="00F7200F"/>
    <w:rsid w:val="00F73515"/>
    <w:rsid w:val="00F7352F"/>
    <w:rsid w:val="00F74C9A"/>
    <w:rsid w:val="00F767F4"/>
    <w:rsid w:val="00F768D6"/>
    <w:rsid w:val="00F7716C"/>
    <w:rsid w:val="00F80D1E"/>
    <w:rsid w:val="00F836E6"/>
    <w:rsid w:val="00F85064"/>
    <w:rsid w:val="00F85465"/>
    <w:rsid w:val="00F900C2"/>
    <w:rsid w:val="00F9165B"/>
    <w:rsid w:val="00FA6EA4"/>
    <w:rsid w:val="00FA749C"/>
    <w:rsid w:val="00FB0778"/>
    <w:rsid w:val="00FB1490"/>
    <w:rsid w:val="00FB19A6"/>
    <w:rsid w:val="00FB22CA"/>
    <w:rsid w:val="00FB66A3"/>
    <w:rsid w:val="00FC0537"/>
    <w:rsid w:val="00FC0FF6"/>
    <w:rsid w:val="00FC2FFA"/>
    <w:rsid w:val="00FC59A5"/>
    <w:rsid w:val="00FC65A2"/>
    <w:rsid w:val="00FC67CD"/>
    <w:rsid w:val="00FD0606"/>
    <w:rsid w:val="00FD1C50"/>
    <w:rsid w:val="00FD2138"/>
    <w:rsid w:val="00FD31B0"/>
    <w:rsid w:val="00FD3888"/>
    <w:rsid w:val="00FD5A39"/>
    <w:rsid w:val="00FE0EBB"/>
    <w:rsid w:val="00FE0F14"/>
    <w:rsid w:val="00FE18FA"/>
    <w:rsid w:val="00FE3054"/>
    <w:rsid w:val="00FE332B"/>
    <w:rsid w:val="00FE3539"/>
    <w:rsid w:val="00FE46C4"/>
    <w:rsid w:val="00FE56BF"/>
    <w:rsid w:val="00FE6652"/>
    <w:rsid w:val="00FF082F"/>
    <w:rsid w:val="00FF1D97"/>
    <w:rsid w:val="00FF20DB"/>
    <w:rsid w:val="00FF2CF8"/>
    <w:rsid w:val="00FF2FBA"/>
    <w:rsid w:val="00FF30A4"/>
    <w:rsid w:val="00FF3D3E"/>
    <w:rsid w:val="00FF4D05"/>
    <w:rsid w:val="00FF6503"/>
    <w:rsid w:val="00FF6B93"/>
    <w:rsid w:val="00FF6FCE"/>
    <w:rsid w:val="00FF7744"/>
    <w:rsid w:val="04CA1D70"/>
    <w:rsid w:val="05477B3D"/>
    <w:rsid w:val="06DD65EA"/>
    <w:rsid w:val="08017033"/>
    <w:rsid w:val="084701E7"/>
    <w:rsid w:val="0A9476C5"/>
    <w:rsid w:val="0ACC2891"/>
    <w:rsid w:val="0ADC5D12"/>
    <w:rsid w:val="0BB4251C"/>
    <w:rsid w:val="0E7E58C7"/>
    <w:rsid w:val="0F080FBA"/>
    <w:rsid w:val="0F911431"/>
    <w:rsid w:val="0FC8577C"/>
    <w:rsid w:val="10D750CD"/>
    <w:rsid w:val="10FF4EF0"/>
    <w:rsid w:val="134942C5"/>
    <w:rsid w:val="137A390C"/>
    <w:rsid w:val="13917456"/>
    <w:rsid w:val="15745DDB"/>
    <w:rsid w:val="15780096"/>
    <w:rsid w:val="16565B22"/>
    <w:rsid w:val="165C583C"/>
    <w:rsid w:val="174D7D09"/>
    <w:rsid w:val="17F7AB55"/>
    <w:rsid w:val="1B465344"/>
    <w:rsid w:val="1BFB058D"/>
    <w:rsid w:val="1C0276B2"/>
    <w:rsid w:val="1E3354D8"/>
    <w:rsid w:val="1E4D2848"/>
    <w:rsid w:val="1F712C4E"/>
    <w:rsid w:val="1FFB1F5D"/>
    <w:rsid w:val="205758FD"/>
    <w:rsid w:val="205A77BF"/>
    <w:rsid w:val="207A5229"/>
    <w:rsid w:val="23066665"/>
    <w:rsid w:val="24A7778B"/>
    <w:rsid w:val="24DE31E7"/>
    <w:rsid w:val="25237EE8"/>
    <w:rsid w:val="257C18D5"/>
    <w:rsid w:val="258B5D67"/>
    <w:rsid w:val="26726015"/>
    <w:rsid w:val="26762C39"/>
    <w:rsid w:val="26827B89"/>
    <w:rsid w:val="26CD622D"/>
    <w:rsid w:val="26DE0244"/>
    <w:rsid w:val="26EA2A08"/>
    <w:rsid w:val="284643BC"/>
    <w:rsid w:val="2861118F"/>
    <w:rsid w:val="28AF1863"/>
    <w:rsid w:val="294E3077"/>
    <w:rsid w:val="29A90D38"/>
    <w:rsid w:val="29CB448E"/>
    <w:rsid w:val="2C5405E6"/>
    <w:rsid w:val="2DBF2788"/>
    <w:rsid w:val="2E6768C5"/>
    <w:rsid w:val="2EBD60F6"/>
    <w:rsid w:val="2FF81B12"/>
    <w:rsid w:val="323732E2"/>
    <w:rsid w:val="32696EB3"/>
    <w:rsid w:val="329D54F9"/>
    <w:rsid w:val="329D6C4A"/>
    <w:rsid w:val="32E13420"/>
    <w:rsid w:val="32F712FD"/>
    <w:rsid w:val="33CD96C4"/>
    <w:rsid w:val="340943C7"/>
    <w:rsid w:val="35137464"/>
    <w:rsid w:val="37ED4425"/>
    <w:rsid w:val="39CD6C45"/>
    <w:rsid w:val="3B40535B"/>
    <w:rsid w:val="3B672EBD"/>
    <w:rsid w:val="3C1A1181"/>
    <w:rsid w:val="3C4B215E"/>
    <w:rsid w:val="3C783DD0"/>
    <w:rsid w:val="3CAE5C97"/>
    <w:rsid w:val="3D223597"/>
    <w:rsid w:val="3D3C3D63"/>
    <w:rsid w:val="3E1D6CC7"/>
    <w:rsid w:val="3E7B1E67"/>
    <w:rsid w:val="3E97326D"/>
    <w:rsid w:val="3EE7B7B2"/>
    <w:rsid w:val="3F0539E0"/>
    <w:rsid w:val="3F837BB7"/>
    <w:rsid w:val="3FAC1967"/>
    <w:rsid w:val="402351F7"/>
    <w:rsid w:val="41080FD0"/>
    <w:rsid w:val="41E55A61"/>
    <w:rsid w:val="421E558D"/>
    <w:rsid w:val="427E30AB"/>
    <w:rsid w:val="42D81C36"/>
    <w:rsid w:val="42DB1E67"/>
    <w:rsid w:val="430B4EC5"/>
    <w:rsid w:val="432F5E38"/>
    <w:rsid w:val="460B574E"/>
    <w:rsid w:val="47245E7D"/>
    <w:rsid w:val="477A4167"/>
    <w:rsid w:val="47CE1E10"/>
    <w:rsid w:val="48222E48"/>
    <w:rsid w:val="487D1226"/>
    <w:rsid w:val="493A2317"/>
    <w:rsid w:val="4951138B"/>
    <w:rsid w:val="4B814678"/>
    <w:rsid w:val="4C26379C"/>
    <w:rsid w:val="4CD779E9"/>
    <w:rsid w:val="4DB53ED8"/>
    <w:rsid w:val="4DEA7386"/>
    <w:rsid w:val="4EDB3547"/>
    <w:rsid w:val="4F5243AE"/>
    <w:rsid w:val="500B03BA"/>
    <w:rsid w:val="50812B95"/>
    <w:rsid w:val="508D2357"/>
    <w:rsid w:val="5146136D"/>
    <w:rsid w:val="5197490E"/>
    <w:rsid w:val="5229323B"/>
    <w:rsid w:val="536037F1"/>
    <w:rsid w:val="54670DBA"/>
    <w:rsid w:val="555B0A89"/>
    <w:rsid w:val="55F64362"/>
    <w:rsid w:val="56D327AA"/>
    <w:rsid w:val="56D5783F"/>
    <w:rsid w:val="574D61C8"/>
    <w:rsid w:val="58437CF2"/>
    <w:rsid w:val="5989794C"/>
    <w:rsid w:val="59F85EFE"/>
    <w:rsid w:val="5A9C2B88"/>
    <w:rsid w:val="5BBDCA53"/>
    <w:rsid w:val="5BD6552A"/>
    <w:rsid w:val="5BF04D8E"/>
    <w:rsid w:val="5CE112BF"/>
    <w:rsid w:val="5D72F93F"/>
    <w:rsid w:val="5DB009DF"/>
    <w:rsid w:val="5E1A0F36"/>
    <w:rsid w:val="5E8207B0"/>
    <w:rsid w:val="5ECD5017"/>
    <w:rsid w:val="5F5B6DFB"/>
    <w:rsid w:val="5FBDBF60"/>
    <w:rsid w:val="5FECEB05"/>
    <w:rsid w:val="60776B83"/>
    <w:rsid w:val="61B46FB8"/>
    <w:rsid w:val="64207B4E"/>
    <w:rsid w:val="65086964"/>
    <w:rsid w:val="6530489C"/>
    <w:rsid w:val="66FF94B0"/>
    <w:rsid w:val="67E79F55"/>
    <w:rsid w:val="6B061FDD"/>
    <w:rsid w:val="6C5E5C28"/>
    <w:rsid w:val="6C8B7771"/>
    <w:rsid w:val="6DDFA3CA"/>
    <w:rsid w:val="6F2B4118"/>
    <w:rsid w:val="6F9058DB"/>
    <w:rsid w:val="6FBA4EAC"/>
    <w:rsid w:val="6FBFB8B2"/>
    <w:rsid w:val="708A34B2"/>
    <w:rsid w:val="70CF28BC"/>
    <w:rsid w:val="729C0FBB"/>
    <w:rsid w:val="72AC7737"/>
    <w:rsid w:val="73490D2C"/>
    <w:rsid w:val="73DDE3BE"/>
    <w:rsid w:val="73EA39A6"/>
    <w:rsid w:val="75C46071"/>
    <w:rsid w:val="75FA915C"/>
    <w:rsid w:val="75FF7F71"/>
    <w:rsid w:val="76BA3491"/>
    <w:rsid w:val="777F8A01"/>
    <w:rsid w:val="778C0C95"/>
    <w:rsid w:val="78415CC1"/>
    <w:rsid w:val="784C5BDD"/>
    <w:rsid w:val="787B5ACF"/>
    <w:rsid w:val="797A72BE"/>
    <w:rsid w:val="799A487B"/>
    <w:rsid w:val="7B9D393B"/>
    <w:rsid w:val="7BBB763E"/>
    <w:rsid w:val="7C5B53DB"/>
    <w:rsid w:val="7C666DDB"/>
    <w:rsid w:val="7DA2694A"/>
    <w:rsid w:val="7DD58125"/>
    <w:rsid w:val="7DEA3A3B"/>
    <w:rsid w:val="7E4D17BE"/>
    <w:rsid w:val="7EDF6DD2"/>
    <w:rsid w:val="7EE42759"/>
    <w:rsid w:val="7F355FFA"/>
    <w:rsid w:val="7F3D66CE"/>
    <w:rsid w:val="7F57A4F2"/>
    <w:rsid w:val="7F7A0BD2"/>
    <w:rsid w:val="7F7FC768"/>
    <w:rsid w:val="7F8D8A17"/>
    <w:rsid w:val="7FA70E1E"/>
    <w:rsid w:val="7FB76485"/>
    <w:rsid w:val="7FECA02B"/>
    <w:rsid w:val="7FFECD55"/>
    <w:rsid w:val="7FFF329B"/>
    <w:rsid w:val="7FFFBB8B"/>
    <w:rsid w:val="951E1214"/>
    <w:rsid w:val="9FDB1C77"/>
    <w:rsid w:val="A9FDE000"/>
    <w:rsid w:val="BB36C180"/>
    <w:rsid w:val="BBB70C92"/>
    <w:rsid w:val="BE676C60"/>
    <w:rsid w:val="BF3F8F3F"/>
    <w:rsid w:val="BFB7354F"/>
    <w:rsid w:val="BFEFD5AB"/>
    <w:rsid w:val="BFFBAFA3"/>
    <w:rsid w:val="CBE341AC"/>
    <w:rsid w:val="D3E7F05C"/>
    <w:rsid w:val="D6F79340"/>
    <w:rsid w:val="D7BFB49B"/>
    <w:rsid w:val="DDF57EDB"/>
    <w:rsid w:val="DEFD9329"/>
    <w:rsid w:val="DFFB5F1F"/>
    <w:rsid w:val="DFFCAB08"/>
    <w:rsid w:val="DFFF3386"/>
    <w:rsid w:val="E46D3A36"/>
    <w:rsid w:val="EBB953D9"/>
    <w:rsid w:val="EBCEEAF7"/>
    <w:rsid w:val="ED6F7BB4"/>
    <w:rsid w:val="EF5718E5"/>
    <w:rsid w:val="F3A96676"/>
    <w:rsid w:val="F6FFB477"/>
    <w:rsid w:val="F7EFCDB9"/>
    <w:rsid w:val="F7F4B7C4"/>
    <w:rsid w:val="F7F7C12D"/>
    <w:rsid w:val="FAEF123F"/>
    <w:rsid w:val="FBB9429A"/>
    <w:rsid w:val="FBDDC2C5"/>
    <w:rsid w:val="FBEED1E4"/>
    <w:rsid w:val="FBFBF494"/>
    <w:rsid w:val="FD774D22"/>
    <w:rsid w:val="FD9AA314"/>
    <w:rsid w:val="FDEDCB96"/>
    <w:rsid w:val="FECE2A61"/>
    <w:rsid w:val="FF3B7E33"/>
    <w:rsid w:val="FF7F3801"/>
    <w:rsid w:val="FF9F04CB"/>
    <w:rsid w:val="FFFDF87A"/>
    <w:rsid w:val="FFFF0C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3">
    <w:name w:val="heading 1"/>
    <w:basedOn w:val="1"/>
    <w:next w:val="1"/>
    <w:link w:val="31"/>
    <w:qFormat/>
    <w:uiPriority w:val="9"/>
    <w:pPr>
      <w:keepNext/>
      <w:keepLines/>
      <w:spacing w:afterLines="100" w:line="700" w:lineRule="atLeast"/>
      <w:jc w:val="center"/>
      <w:outlineLvl w:val="0"/>
    </w:pPr>
    <w:rPr>
      <w:rFonts w:eastAsia="黑体"/>
      <w:b/>
      <w:bCs/>
      <w:kern w:val="44"/>
      <w:szCs w:val="44"/>
    </w:rPr>
  </w:style>
  <w:style w:type="paragraph" w:styleId="4">
    <w:name w:val="heading 2"/>
    <w:basedOn w:val="1"/>
    <w:next w:val="1"/>
    <w:link w:val="32"/>
    <w:qFormat/>
    <w:uiPriority w:val="9"/>
    <w:pPr>
      <w:keepNext/>
      <w:keepLines/>
      <w:spacing w:before="250" w:after="250" w:line="480" w:lineRule="exact"/>
      <w:jc w:val="center"/>
      <w:outlineLvl w:val="1"/>
    </w:pPr>
    <w:rPr>
      <w:rFonts w:ascii="Cambria" w:hAnsi="Cambria" w:eastAsia="黑体"/>
      <w:bCs/>
      <w:kern w:val="0"/>
      <w:szCs w:val="32"/>
    </w:rPr>
  </w:style>
  <w:style w:type="paragraph" w:styleId="5">
    <w:name w:val="heading 3"/>
    <w:basedOn w:val="1"/>
    <w:next w:val="1"/>
    <w:link w:val="33"/>
    <w:unhideWhenUsed/>
    <w:qFormat/>
    <w:uiPriority w:val="9"/>
    <w:pPr>
      <w:keepNext/>
      <w:keepLines/>
      <w:spacing w:before="120" w:beforeAutospacing="1" w:after="240" w:line="480" w:lineRule="exact"/>
      <w:ind w:firstLine="200" w:firstLineChars="200"/>
      <w:jc w:val="left"/>
      <w:outlineLvl w:val="2"/>
    </w:pPr>
    <w:rPr>
      <w:rFonts w:eastAsia="楷体"/>
      <w:b/>
      <w:bCs/>
      <w:szCs w:val="32"/>
    </w:rPr>
  </w:style>
  <w:style w:type="paragraph" w:styleId="6">
    <w:name w:val="heading 4"/>
    <w:basedOn w:val="1"/>
    <w:next w:val="1"/>
    <w:link w:val="3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3"/>
    <w:basedOn w:val="1"/>
    <w:qFormat/>
    <w:uiPriority w:val="0"/>
    <w:pPr>
      <w:spacing w:after="120"/>
    </w:pPr>
    <w:rPr>
      <w:kern w:val="0"/>
      <w:sz w:val="16"/>
      <w:szCs w:val="16"/>
    </w:rPr>
  </w:style>
  <w:style w:type="paragraph" w:styleId="7">
    <w:name w:val="toc 7"/>
    <w:basedOn w:val="1"/>
    <w:next w:val="1"/>
    <w:unhideWhenUsed/>
    <w:qFormat/>
    <w:uiPriority w:val="39"/>
    <w:pPr>
      <w:ind w:left="2520" w:leftChars="1200"/>
    </w:pPr>
    <w:rPr>
      <w:rFonts w:asciiTheme="minorHAnsi" w:hAnsiTheme="minorHAnsi" w:eastAsiaTheme="minorEastAsia" w:cstheme="minorBidi"/>
    </w:rPr>
  </w:style>
  <w:style w:type="paragraph" w:styleId="8">
    <w:name w:val="caption"/>
    <w:basedOn w:val="1"/>
    <w:next w:val="1"/>
    <w:unhideWhenUsed/>
    <w:qFormat/>
    <w:uiPriority w:val="35"/>
    <w:rPr>
      <w:rFonts w:ascii="等线 Light" w:hAnsi="等线 Light" w:eastAsia="黑体"/>
      <w:sz w:val="20"/>
      <w:szCs w:val="20"/>
    </w:rPr>
  </w:style>
  <w:style w:type="paragraph" w:styleId="9">
    <w:name w:val="Document Map"/>
    <w:basedOn w:val="1"/>
    <w:link w:val="35"/>
    <w:unhideWhenUsed/>
    <w:qFormat/>
    <w:uiPriority w:val="99"/>
    <w:rPr>
      <w:rFonts w:ascii="宋体"/>
      <w:kern w:val="0"/>
      <w:sz w:val="18"/>
      <w:szCs w:val="18"/>
    </w:rPr>
  </w:style>
  <w:style w:type="paragraph" w:styleId="10">
    <w:name w:val="annotation text"/>
    <w:basedOn w:val="1"/>
    <w:semiHidden/>
    <w:unhideWhenUsed/>
    <w:qFormat/>
    <w:uiPriority w:val="99"/>
    <w:pPr>
      <w:jc w:val="left"/>
    </w:pPr>
  </w:style>
  <w:style w:type="paragraph" w:styleId="11">
    <w:name w:val="toc 5"/>
    <w:basedOn w:val="1"/>
    <w:next w:val="1"/>
    <w:unhideWhenUsed/>
    <w:qFormat/>
    <w:uiPriority w:val="39"/>
    <w:pPr>
      <w:ind w:left="1680" w:leftChars="800"/>
    </w:pPr>
    <w:rPr>
      <w:rFonts w:asciiTheme="minorHAnsi" w:hAnsiTheme="minorHAnsi" w:eastAsiaTheme="minorEastAsia" w:cstheme="minorBidi"/>
    </w:rPr>
  </w:style>
  <w:style w:type="paragraph" w:styleId="12">
    <w:name w:val="toc 3"/>
    <w:basedOn w:val="1"/>
    <w:next w:val="1"/>
    <w:unhideWhenUsed/>
    <w:qFormat/>
    <w:uiPriority w:val="39"/>
    <w:pPr>
      <w:tabs>
        <w:tab w:val="right" w:leader="dot" w:pos="8296"/>
      </w:tabs>
      <w:ind w:left="840" w:leftChars="400" w:firstLine="420" w:firstLineChars="200"/>
    </w:pPr>
  </w:style>
  <w:style w:type="paragraph" w:styleId="13">
    <w:name w:val="toc 8"/>
    <w:basedOn w:val="1"/>
    <w:next w:val="1"/>
    <w:unhideWhenUsed/>
    <w:qFormat/>
    <w:uiPriority w:val="39"/>
    <w:pPr>
      <w:ind w:left="2940" w:leftChars="1400"/>
    </w:pPr>
    <w:rPr>
      <w:rFonts w:asciiTheme="minorHAnsi" w:hAnsiTheme="minorHAnsi" w:eastAsiaTheme="minorEastAsia" w:cstheme="minorBidi"/>
    </w:rPr>
  </w:style>
  <w:style w:type="paragraph" w:styleId="14">
    <w:name w:val="Balloon Text"/>
    <w:basedOn w:val="1"/>
    <w:link w:val="53"/>
    <w:semiHidden/>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pPr>
      <w:tabs>
        <w:tab w:val="right" w:leader="dot" w:pos="8296"/>
      </w:tabs>
      <w:spacing w:line="460" w:lineRule="exact"/>
      <w:ind w:firstLine="640"/>
    </w:pPr>
    <w:rPr>
      <w:rFonts w:ascii="楷体_GB2312" w:hAnsi="楷体_GB2312" w:eastAsiaTheme="majorEastAsia"/>
      <w:sz w:val="24"/>
    </w:rPr>
  </w:style>
  <w:style w:type="paragraph" w:styleId="18">
    <w:name w:val="toc 4"/>
    <w:basedOn w:val="1"/>
    <w:next w:val="1"/>
    <w:unhideWhenUsed/>
    <w:qFormat/>
    <w:uiPriority w:val="39"/>
    <w:pPr>
      <w:ind w:left="1260" w:leftChars="600"/>
    </w:pPr>
    <w:rPr>
      <w:rFonts w:asciiTheme="minorHAnsi" w:hAnsiTheme="minorHAnsi" w:eastAsiaTheme="minorEastAsia" w:cstheme="minorBidi"/>
    </w:rPr>
  </w:style>
  <w:style w:type="paragraph" w:styleId="19">
    <w:name w:val="toc 6"/>
    <w:basedOn w:val="1"/>
    <w:next w:val="1"/>
    <w:unhideWhenUsed/>
    <w:qFormat/>
    <w:uiPriority w:val="39"/>
    <w:pPr>
      <w:ind w:left="2100" w:leftChars="1000"/>
    </w:pPr>
    <w:rPr>
      <w:rFonts w:asciiTheme="minorHAnsi" w:hAnsiTheme="minorHAnsi" w:eastAsiaTheme="minorEastAsia" w:cstheme="minorBidi"/>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unhideWhenUsed/>
    <w:qFormat/>
    <w:uiPriority w:val="39"/>
    <w:pPr>
      <w:tabs>
        <w:tab w:val="right" w:leader="dot" w:pos="8296"/>
      </w:tabs>
      <w:spacing w:line="500" w:lineRule="exact"/>
      <w:ind w:left="640" w:leftChars="200" w:firstLine="640"/>
    </w:pPr>
    <w:rPr>
      <w:rFonts w:eastAsiaTheme="majorEastAsia"/>
      <w:sz w:val="24"/>
    </w:r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character" w:customStyle="1" w:styleId="31">
    <w:name w:val="标题 1 Char1"/>
    <w:link w:val="3"/>
    <w:qFormat/>
    <w:uiPriority w:val="9"/>
    <w:rPr>
      <w:rFonts w:eastAsia="黑体"/>
      <w:b/>
      <w:bCs/>
      <w:kern w:val="44"/>
      <w:sz w:val="32"/>
      <w:szCs w:val="44"/>
    </w:rPr>
  </w:style>
  <w:style w:type="character" w:customStyle="1" w:styleId="32">
    <w:name w:val="标题 2 Char1"/>
    <w:basedOn w:val="26"/>
    <w:link w:val="4"/>
    <w:qFormat/>
    <w:uiPriority w:val="9"/>
    <w:rPr>
      <w:rFonts w:hint="default" w:ascii="Cambria" w:hAnsi="Cambria" w:eastAsia="黑体" w:cs="Cambria"/>
      <w:sz w:val="32"/>
      <w:szCs w:val="32"/>
    </w:rPr>
  </w:style>
  <w:style w:type="character" w:customStyle="1" w:styleId="33">
    <w:name w:val="标题 3 Char1"/>
    <w:link w:val="5"/>
    <w:qFormat/>
    <w:uiPriority w:val="9"/>
    <w:rPr>
      <w:rFonts w:eastAsia="楷体"/>
      <w:b/>
      <w:bCs/>
      <w:kern w:val="2"/>
      <w:sz w:val="32"/>
      <w:szCs w:val="32"/>
    </w:rPr>
  </w:style>
  <w:style w:type="character" w:customStyle="1" w:styleId="34">
    <w:name w:val="标题 4 Char"/>
    <w:basedOn w:val="26"/>
    <w:link w:val="6"/>
    <w:semiHidden/>
    <w:qFormat/>
    <w:uiPriority w:val="9"/>
    <w:rPr>
      <w:rFonts w:asciiTheme="majorHAnsi" w:hAnsiTheme="majorHAnsi" w:eastAsiaTheme="majorEastAsia" w:cstheme="majorBidi"/>
      <w:b/>
      <w:bCs/>
      <w:kern w:val="2"/>
      <w:sz w:val="28"/>
      <w:szCs w:val="28"/>
    </w:rPr>
  </w:style>
  <w:style w:type="character" w:customStyle="1" w:styleId="35">
    <w:name w:val="文档结构图 Char"/>
    <w:link w:val="9"/>
    <w:qFormat/>
    <w:uiPriority w:val="99"/>
    <w:rPr>
      <w:rFonts w:ascii="宋体" w:eastAsia="宋体"/>
      <w:sz w:val="18"/>
      <w:szCs w:val="18"/>
    </w:rPr>
  </w:style>
  <w:style w:type="character" w:customStyle="1" w:styleId="36">
    <w:name w:val="页脚 Char"/>
    <w:link w:val="15"/>
    <w:qFormat/>
    <w:uiPriority w:val="99"/>
    <w:rPr>
      <w:sz w:val="18"/>
      <w:szCs w:val="18"/>
    </w:rPr>
  </w:style>
  <w:style w:type="character" w:customStyle="1" w:styleId="37">
    <w:name w:val="页眉 Char"/>
    <w:link w:val="16"/>
    <w:qFormat/>
    <w:uiPriority w:val="99"/>
    <w:rPr>
      <w:sz w:val="18"/>
      <w:szCs w:val="18"/>
    </w:rPr>
  </w:style>
  <w:style w:type="character" w:customStyle="1" w:styleId="38">
    <w:name w:val="标题 1 Char"/>
    <w:qFormat/>
    <w:uiPriority w:val="9"/>
    <w:rPr>
      <w:b/>
      <w:bCs/>
      <w:kern w:val="44"/>
      <w:sz w:val="44"/>
      <w:szCs w:val="44"/>
    </w:rPr>
  </w:style>
  <w:style w:type="character" w:customStyle="1" w:styleId="39">
    <w:name w:val="标题 2 Char"/>
    <w:qFormat/>
    <w:uiPriority w:val="9"/>
    <w:rPr>
      <w:rFonts w:ascii="Cambria" w:hAnsi="Cambria"/>
      <w:b/>
      <w:bCs/>
      <w:sz w:val="30"/>
      <w:szCs w:val="32"/>
    </w:rPr>
  </w:style>
  <w:style w:type="paragraph" w:customStyle="1" w:styleId="40">
    <w:name w:val="Char Char Char Char Char Char1 Char Char Char Char Char Char Char Char Char Char Char Char Char"/>
    <w:basedOn w:val="1"/>
    <w:qFormat/>
    <w:uiPriority w:val="0"/>
    <w:pPr>
      <w:widowControl/>
      <w:spacing w:after="160" w:line="240" w:lineRule="exact"/>
      <w:ind w:firstLine="200" w:firstLineChars="200"/>
      <w:jc w:val="left"/>
    </w:pPr>
    <w:rPr>
      <w:rFonts w:eastAsia="仿宋_GB2312"/>
    </w:rPr>
  </w:style>
  <w:style w:type="character" w:customStyle="1" w:styleId="41">
    <w:name w:val="标题 3 Char"/>
    <w:qFormat/>
    <w:uiPriority w:val="0"/>
    <w:rPr>
      <w:b/>
      <w:bCs/>
      <w:kern w:val="2"/>
      <w:sz w:val="32"/>
      <w:szCs w:val="32"/>
    </w:rPr>
  </w:style>
  <w:style w:type="paragraph" w:customStyle="1" w:styleId="42">
    <w:name w:val="TOC 标题1"/>
    <w:basedOn w:val="3"/>
    <w:next w:val="1"/>
    <w:unhideWhenUsed/>
    <w:qFormat/>
    <w:uiPriority w:val="39"/>
    <w:pPr>
      <w:widowControl/>
      <w:spacing w:before="480" w:line="276" w:lineRule="auto"/>
      <w:jc w:val="left"/>
      <w:outlineLvl w:val="9"/>
    </w:pPr>
    <w:rPr>
      <w:rFonts w:ascii="Cambria" w:hAnsi="Cambria"/>
      <w:b w:val="0"/>
      <w:color w:val="365F91"/>
      <w:kern w:val="0"/>
      <w:sz w:val="28"/>
      <w:szCs w:val="28"/>
    </w:rPr>
  </w:style>
  <w:style w:type="paragraph" w:styleId="43">
    <w:name w:val="List Paragraph"/>
    <w:basedOn w:val="1"/>
    <w:qFormat/>
    <w:uiPriority w:val="34"/>
    <w:pPr>
      <w:ind w:firstLine="420" w:firstLineChars="200"/>
    </w:pPr>
  </w:style>
  <w:style w:type="paragraph" w:customStyle="1" w:styleId="44">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5">
    <w:name w:val="未处理的提及1"/>
    <w:basedOn w:val="26"/>
    <w:semiHidden/>
    <w:unhideWhenUsed/>
    <w:qFormat/>
    <w:uiPriority w:val="99"/>
    <w:rPr>
      <w:color w:val="605E5C"/>
      <w:shd w:val="clear" w:color="auto" w:fill="E1DFDD"/>
    </w:rPr>
  </w:style>
  <w:style w:type="character" w:customStyle="1" w:styleId="46">
    <w:name w:val="文档结构图 字符1"/>
    <w:basedOn w:val="26"/>
    <w:semiHidden/>
    <w:qFormat/>
    <w:uiPriority w:val="99"/>
    <w:rPr>
      <w:rFonts w:ascii="Microsoft YaHei UI" w:eastAsia="Microsoft YaHei UI"/>
      <w:kern w:val="2"/>
      <w:sz w:val="18"/>
      <w:szCs w:val="18"/>
    </w:rPr>
  </w:style>
  <w:style w:type="character" w:customStyle="1" w:styleId="47">
    <w:name w:val="页眉 字符1"/>
    <w:basedOn w:val="26"/>
    <w:semiHidden/>
    <w:qFormat/>
    <w:uiPriority w:val="99"/>
    <w:rPr>
      <w:kern w:val="2"/>
      <w:sz w:val="18"/>
      <w:szCs w:val="18"/>
    </w:rPr>
  </w:style>
  <w:style w:type="character" w:customStyle="1" w:styleId="48">
    <w:name w:val="页脚 字符1"/>
    <w:basedOn w:val="26"/>
    <w:semiHidden/>
    <w:qFormat/>
    <w:uiPriority w:val="99"/>
    <w:rPr>
      <w:kern w:val="2"/>
      <w:sz w:val="18"/>
      <w:szCs w:val="18"/>
    </w:rPr>
  </w:style>
  <w:style w:type="character" w:customStyle="1" w:styleId="49">
    <w:name w:val="未处理的提及2"/>
    <w:basedOn w:val="26"/>
    <w:semiHidden/>
    <w:unhideWhenUsed/>
    <w:qFormat/>
    <w:uiPriority w:val="99"/>
    <w:rPr>
      <w:color w:val="605E5C"/>
      <w:shd w:val="clear" w:color="auto" w:fill="E1DFDD"/>
    </w:rPr>
  </w:style>
  <w:style w:type="character" w:customStyle="1" w:styleId="50">
    <w:name w:val="未处理的提及3"/>
    <w:basedOn w:val="26"/>
    <w:semiHidden/>
    <w:unhideWhenUsed/>
    <w:qFormat/>
    <w:uiPriority w:val="99"/>
    <w:rPr>
      <w:color w:val="605E5C"/>
      <w:shd w:val="clear" w:color="auto" w:fill="E1DFDD"/>
    </w:rPr>
  </w:style>
  <w:style w:type="paragraph" w:customStyle="1" w:styleId="51">
    <w:name w:val="TOC 标题2"/>
    <w:basedOn w:val="3"/>
    <w:next w:val="1"/>
    <w:unhideWhenUsed/>
    <w:qFormat/>
    <w:uiPriority w:val="39"/>
    <w:pPr>
      <w:widowControl/>
      <w:spacing w:before="240" w:afterLines="0" w:line="259" w:lineRule="auto"/>
      <w:jc w:val="left"/>
      <w:outlineLvl w:val="9"/>
    </w:pPr>
    <w:rPr>
      <w:rFonts w:asciiTheme="majorHAnsi" w:hAnsiTheme="majorHAnsi" w:eastAsiaTheme="majorEastAsia" w:cstheme="majorBidi"/>
      <w:b w:val="0"/>
      <w:bCs w:val="0"/>
      <w:color w:val="366091" w:themeColor="accent1" w:themeShade="BF"/>
      <w:kern w:val="0"/>
      <w:szCs w:val="32"/>
    </w:rPr>
  </w:style>
  <w:style w:type="paragraph" w:customStyle="1" w:styleId="52">
    <w:name w:val="tex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3">
    <w:name w:val="批注框文本 Char"/>
    <w:basedOn w:val="26"/>
    <w:link w:val="14"/>
    <w:semiHidden/>
    <w:qFormat/>
    <w:uiPriority w:val="99"/>
    <w:rPr>
      <w:kern w:val="2"/>
      <w:sz w:val="18"/>
      <w:szCs w:val="18"/>
    </w:rPr>
  </w:style>
  <w:style w:type="character" w:customStyle="1" w:styleId="54">
    <w:name w:val="fontstyle01"/>
    <w:basedOn w:val="26"/>
    <w:qFormat/>
    <w:uiPriority w:val="0"/>
    <w:rPr>
      <w:rFonts w:hint="eastAsia" w:ascii="宋体" w:hAnsi="宋体" w:eastAsia="宋体"/>
      <w:color w:val="000000"/>
      <w:sz w:val="32"/>
      <w:szCs w:val="32"/>
    </w:rPr>
  </w:style>
  <w:style w:type="paragraph" w:customStyle="1" w:styleId="55">
    <w:name w:val="TOC 标题3"/>
    <w:basedOn w:val="3"/>
    <w:next w:val="1"/>
    <w:unhideWhenUsed/>
    <w:qFormat/>
    <w:uiPriority w:val="39"/>
    <w:pPr>
      <w:widowControl/>
      <w:spacing w:before="240" w:afterLines="0" w:line="259" w:lineRule="auto"/>
      <w:jc w:val="left"/>
      <w:outlineLvl w:val="9"/>
    </w:pPr>
    <w:rPr>
      <w:rFonts w:asciiTheme="majorHAnsi" w:hAnsiTheme="majorHAnsi" w:eastAsiaTheme="majorEastAsia" w:cstheme="majorBidi"/>
      <w:b w:val="0"/>
      <w:bCs w:val="0"/>
      <w:color w:val="366091" w:themeColor="accent1" w:themeShade="BF"/>
      <w:kern w:val="0"/>
      <w:szCs w:val="32"/>
    </w:rPr>
  </w:style>
  <w:style w:type="character" w:customStyle="1" w:styleId="56">
    <w:name w:val="未处理的提及4"/>
    <w:basedOn w:val="26"/>
    <w:semiHidden/>
    <w:unhideWhenUsed/>
    <w:qFormat/>
    <w:uiPriority w:val="99"/>
    <w:rPr>
      <w:color w:val="605E5C"/>
      <w:shd w:val="clear" w:color="auto" w:fill="E1DFDD"/>
    </w:rPr>
  </w:style>
  <w:style w:type="character" w:customStyle="1" w:styleId="57">
    <w:name w:val="未处理的提及5"/>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65</Pages>
  <Words>31898</Words>
  <Characters>32499</Characters>
  <Lines>260</Lines>
  <Paragraphs>73</Paragraphs>
  <TotalTime>7</TotalTime>
  <ScaleCrop>false</ScaleCrop>
  <LinksUpToDate>false</LinksUpToDate>
  <CharactersWithSpaces>33169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2021-11-17T07:18:00Z</dcterms:created>
  <dc:creator>Administrator</dc:creator>
  <cp:lastModifiedBy>akkj</cp:lastModifiedBy>
  <cp:lastPrinted>2022-01-11T22:42:00Z</cp:lastPrinted>
  <dcterms:modified xsi:type="dcterms:W3CDTF">2022-03-22T02:56:15Z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8387B95CBAB1420998CBD674650D2827</vt:lpwstr>
  </property>
</Properties>
</file>