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5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一、豆制品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为GB 2760-2014《食品安全国家标准 食品添加剂使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用标准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Q/HMS0001S—2018《腐竹、豆油皮及制品》等标准及产品明示标准和指标的要求。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豆制品的检验项目包括：铅(以Pb计)、苯甲酸及其钠盐(以苯甲酸计)、山梨酸及其钾盐(以山梨酸计)、脱氢乙酸及其钠盐(以脱氢乙酸计)、铝的残留量(干样品，以Al计)等。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二、食用油、油脂及其制品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2762-2017《食品安全国家标准 食品中污染物限量》、GB 1536-2004《菜籽油》等标准及产品明示标准和指标的要求。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食用油、油脂及其制品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：过氧化值、酸值/酸价、苯并芘等。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三、调味品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2760-2014《食品安全国家标准 食品添加剂使用标准》、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GB/T 18186-2000《酿造酱油》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 2717-2018《食品安全国家标准 酱油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》、GB 2719-2018《食品安全国家标准 食醋》等标准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调味品的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验项目包括：山梨酸及其钾盐（以山梨酸计）、氨基酸态氮(以氮计)、防腐剂混合使用时各自用量占其最大使用量的比例之和、糖精钠(以糖精计)、苯甲酸及其钠盐（以苯甲酸计）、脱氢乙酸及其钠盐(以脱氢乙酸计)、铵盐(以占氨基酸态氮的百分比计)、菌落总数、总酸(以乙酸计)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四、淀粉及淀粉制品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（一）抽检依据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抽检依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据为GB 2760-2014《食品安全国家标准 食品添加剂使用标准》、GB 2762-2017《食品安全国家标准 食品中污染物限量》等标准及产品明示标准和指标的要求。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淀粉及淀粉制品的检验项目包括：二氧化硫残留量、铅(以Pb计)、铝的残留量(干样品，以Al计)等。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餐饮食品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（一）抽检依据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食品添加剂使用标准》GB 2760-2014、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食品中污染物限量》GB 2762-2017、《国家卫生计生委关于批准-半乳糖苷酶为食品添加剂新品种等的公告（2015年第1号）》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（二）检验项目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生湿面制品(自制)的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项目包括：苯甲酸及其钠盐（以苯甲酸计）、山梨酸及其钾盐（以山梨酸计）、脱氢乙酸及其钠盐（以脱氢乙酸计）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发酵面制品(自制)的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包括：苯甲酸及其钠盐（以苯甲酸计）、山梨酸及其钾盐（以山梨酸计）、糖精钠(以糖精计)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酱腌菜（自制）的抽检项目包括：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亚硝酸盐（以亚硝酸钠计）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甜蜜素（以环己基氨基磺酸计）。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饮料（自制）的抽检项目包括：甜蜜素（以环己基氨基磺酸计）、安赛蜜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糖精钠（以糖精计）、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合成着色剂（胭脂红、苋菜红、柠檬黄、日落黄、亮蓝）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食用农产品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（一）抽检依据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据是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GB 22556-2008《豆芽卫生标准》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、国家食品药品监督管理总局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农业部 国家卫生和计划生育委员会关于豆芽生产过程中禁止使用6-苄基腺嘌呤等物质的公告（2015 年第 11 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准及产品明示标准和指标的要求。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（二）检验项目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豆芽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括：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铅(以Pb计)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总汞(以Hg计)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4-氯苯氧乙酸钠(以4-氯苯氧乙酸计)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6-苄基腺嘌呤(6-BA)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亚硫酸盐(以SO₂计)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韭菜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的抽检项目包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括：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铅(以Pb计)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总汞(以Hg计)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4-氯苯氧乙酸钠(以4-氯苯氧乙酸计)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6-苄基腺嘌呤(6-BA)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亚硫酸盐(以SO₂计)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西芹的抽检项目包括：毒死蜱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、甲拌磷、甲基异柳磷、克百威、氯氟氰菊酯和高效氯氟氰菊酯、氧乐果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/>
        <w:sz w:val="24"/>
        <w:szCs w:val="24"/>
      </w:rPr>
    </w:pPr>
    <w:r>
      <w:rPr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- 1 -</w:t>
    </w:r>
    <w:r>
      <w:rPr>
        <w:rFonts w:ascii="宋体" w:hAnsi="宋体" w:cs="宋体"/>
        <w:sz w:val="24"/>
        <w:szCs w:val="24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92C4E"/>
    <w:multiLevelType w:val="singleLevel"/>
    <w:tmpl w:val="CA092C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69CF8B"/>
    <w:multiLevelType w:val="singleLevel"/>
    <w:tmpl w:val="0969CF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90A2FB"/>
    <w:multiLevelType w:val="singleLevel"/>
    <w:tmpl w:val="3090A2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E"/>
    <w:rsid w:val="0053532E"/>
    <w:rsid w:val="01233EBC"/>
    <w:rsid w:val="05EB1CCE"/>
    <w:rsid w:val="06451C37"/>
    <w:rsid w:val="07D44837"/>
    <w:rsid w:val="096672E6"/>
    <w:rsid w:val="09B26453"/>
    <w:rsid w:val="0A200D02"/>
    <w:rsid w:val="0A460003"/>
    <w:rsid w:val="0D36377A"/>
    <w:rsid w:val="0F63018E"/>
    <w:rsid w:val="129A4881"/>
    <w:rsid w:val="1403715D"/>
    <w:rsid w:val="169D278D"/>
    <w:rsid w:val="172E6C2A"/>
    <w:rsid w:val="1E60756F"/>
    <w:rsid w:val="1F2E3EBD"/>
    <w:rsid w:val="24705D77"/>
    <w:rsid w:val="24957EE4"/>
    <w:rsid w:val="25807738"/>
    <w:rsid w:val="26CE7155"/>
    <w:rsid w:val="28807AFA"/>
    <w:rsid w:val="2A782358"/>
    <w:rsid w:val="340943A7"/>
    <w:rsid w:val="34264B82"/>
    <w:rsid w:val="344234F2"/>
    <w:rsid w:val="345A2931"/>
    <w:rsid w:val="361E06BB"/>
    <w:rsid w:val="3E4C679E"/>
    <w:rsid w:val="3EFC1DB9"/>
    <w:rsid w:val="40D6085C"/>
    <w:rsid w:val="41D55B17"/>
    <w:rsid w:val="457A727A"/>
    <w:rsid w:val="45CA7F52"/>
    <w:rsid w:val="47C80574"/>
    <w:rsid w:val="49EA4A6B"/>
    <w:rsid w:val="4BC11AF9"/>
    <w:rsid w:val="4BCF2B86"/>
    <w:rsid w:val="4E7350C4"/>
    <w:rsid w:val="4EDD7A52"/>
    <w:rsid w:val="52981246"/>
    <w:rsid w:val="543C31E7"/>
    <w:rsid w:val="5533022A"/>
    <w:rsid w:val="56DE4C5E"/>
    <w:rsid w:val="57C102A2"/>
    <w:rsid w:val="587565F4"/>
    <w:rsid w:val="588738D9"/>
    <w:rsid w:val="590D24FA"/>
    <w:rsid w:val="5D11073B"/>
    <w:rsid w:val="5D13750D"/>
    <w:rsid w:val="5D617715"/>
    <w:rsid w:val="5DD0695C"/>
    <w:rsid w:val="5F7F7FC8"/>
    <w:rsid w:val="65BA1AC9"/>
    <w:rsid w:val="67FB787B"/>
    <w:rsid w:val="6B0446A0"/>
    <w:rsid w:val="6B515C78"/>
    <w:rsid w:val="6F7E0C74"/>
    <w:rsid w:val="7A093DEE"/>
    <w:rsid w:val="7E43214D"/>
    <w:rsid w:val="7EDF3EFA"/>
    <w:rsid w:val="7F4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line="360" w:lineRule="auto"/>
      <w:ind w:left="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宋体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480" w:lineRule="auto"/>
    </w:pPr>
    <w:rPr>
      <w:rFonts w:asciiTheme="minorAscii" w:hAnsiTheme="minorAscii"/>
      <w:sz w:val="28"/>
      <w:szCs w:val="22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styleId="11">
    <w:name w:val="page number"/>
    <w:uiPriority w:val="0"/>
    <w:rPr>
      <w:rFonts w:cs="Times New Roman"/>
    </w:rPr>
  </w:style>
  <w:style w:type="character" w:customStyle="1" w:styleId="12">
    <w:name w:val="标题 2 字符"/>
    <w:basedOn w:val="10"/>
    <w:link w:val="4"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13">
    <w:name w:val="标题 3 字符"/>
    <w:basedOn w:val="10"/>
    <w:link w:val="5"/>
    <w:qFormat/>
    <w:uiPriority w:val="9"/>
    <w:rPr>
      <w:rFonts w:ascii="Times New Roman" w:hAnsi="Times New Roman" w:eastAsia="宋体" w:cs="宋体"/>
      <w:b/>
      <w:bCs/>
      <w:sz w:val="28"/>
      <w:szCs w:val="32"/>
    </w:rPr>
  </w:style>
  <w:style w:type="character" w:customStyle="1" w:styleId="14">
    <w:name w:val="标题 1 Char"/>
    <w:link w:val="3"/>
    <w:qFormat/>
    <w:uiPriority w:val="0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15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Table Paragraph"/>
    <w:basedOn w:val="1"/>
    <w:qFormat/>
    <w:uiPriority w:val="0"/>
    <w:pPr>
      <w:jc w:val="center"/>
    </w:pPr>
    <w:rPr>
      <w:rFonts w:eastAsia="Times New Roman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2021-01-20T06:35:00Z</dcterms:created>
  <dc:creator>Administrator</dc:creator>
  <cp:lastModifiedBy>四夕木杉木俞</cp:lastModifiedBy>
  <cp:lastPrinted>2021-11-22T03:18:00Z</cp:lastPrinted>
  <dcterms:modified xsi:type="dcterms:W3CDTF">2022-03-03T08:47:30Z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AE171A25A89343A88537EB7B8D00D54D</vt:lpwstr>
  </property>
</Properties>
</file>