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F4" w:rsidRDefault="009500F4">
      <w:pPr>
        <w:spacing w:line="500" w:lineRule="exact"/>
        <w:jc w:val="left"/>
        <w:outlineLvl w:val="0"/>
        <w:rPr>
          <w:rFonts w:ascii="方正黑体简体" w:eastAsia="方正黑体简体" w:hAnsi="方正黑体简体" w:cs="方正黑体简体"/>
          <w:bCs/>
          <w:sz w:val="32"/>
          <w:szCs w:val="32"/>
        </w:rPr>
      </w:pPr>
      <w:bookmarkStart w:id="0" w:name="_GoBack"/>
      <w:bookmarkEnd w:id="0"/>
    </w:p>
    <w:p w:rsidR="009500F4" w:rsidRDefault="00975E3F">
      <w:pPr>
        <w:spacing w:line="500" w:lineRule="exact"/>
        <w:jc w:val="left"/>
        <w:outlineLvl w:val="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附件</w:t>
      </w:r>
      <w:r>
        <w:rPr>
          <w:rFonts w:ascii="方正黑体简体" w:eastAsia="方正黑体简体" w:hAnsi="方正黑体简体" w:cs="方正黑体简体" w:hint="eastAsia"/>
          <w:bCs/>
          <w:sz w:val="32"/>
          <w:szCs w:val="32"/>
        </w:rPr>
        <w:t>1</w:t>
      </w:r>
    </w:p>
    <w:p w:rsidR="009500F4" w:rsidRDefault="00975E3F">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总结评估工作联系人</w:t>
      </w:r>
    </w:p>
    <w:p w:rsidR="009500F4" w:rsidRDefault="009500F4">
      <w:pPr>
        <w:spacing w:line="500" w:lineRule="exact"/>
        <w:rPr>
          <w:rFonts w:ascii="仿宋_GB2312" w:eastAsia="仿宋_GB2312"/>
          <w:sz w:val="32"/>
          <w:szCs w:val="32"/>
        </w:rPr>
      </w:pPr>
    </w:p>
    <w:p w:rsidR="009500F4" w:rsidRDefault="00975E3F">
      <w:pPr>
        <w:spacing w:line="500" w:lineRule="exact"/>
        <w:rPr>
          <w:rFonts w:ascii="仿宋_GB2312" w:eastAsia="仿宋_GB2312"/>
          <w:sz w:val="32"/>
          <w:szCs w:val="32"/>
        </w:rPr>
      </w:pPr>
      <w:r>
        <w:rPr>
          <w:rFonts w:ascii="仿宋_GB2312" w:eastAsia="仿宋_GB2312" w:hint="eastAsia"/>
          <w:sz w:val="32"/>
          <w:szCs w:val="32"/>
        </w:rPr>
        <w:t>填报单位：</w:t>
      </w:r>
      <w:r>
        <w:rPr>
          <w:rFonts w:ascii="仿宋_GB2312" w:eastAsia="仿宋_GB2312" w:hint="eastAsia"/>
          <w:sz w:val="32"/>
          <w:szCs w:val="32"/>
        </w:rPr>
        <w:t xml:space="preserve"> </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730"/>
        <w:gridCol w:w="2295"/>
        <w:gridCol w:w="2430"/>
      </w:tblGrid>
      <w:tr w:rsidR="009500F4">
        <w:trPr>
          <w:trHeight w:hRule="exact" w:val="1134"/>
        </w:trPr>
        <w:tc>
          <w:tcPr>
            <w:tcW w:w="1482" w:type="dxa"/>
            <w:vAlign w:val="center"/>
          </w:tcPr>
          <w:p w:rsidR="009500F4" w:rsidRDefault="00975E3F">
            <w:pPr>
              <w:spacing w:line="500" w:lineRule="exact"/>
              <w:jc w:val="center"/>
              <w:rPr>
                <w:rFonts w:ascii="仿宋_GB2312" w:eastAsia="仿宋_GB2312"/>
                <w:b/>
                <w:sz w:val="32"/>
                <w:szCs w:val="32"/>
              </w:rPr>
            </w:pPr>
            <w:r>
              <w:rPr>
                <w:rFonts w:ascii="仿宋_GB2312" w:eastAsia="仿宋_GB2312" w:hint="eastAsia"/>
                <w:b/>
                <w:sz w:val="32"/>
                <w:szCs w:val="32"/>
              </w:rPr>
              <w:t>姓名</w:t>
            </w:r>
          </w:p>
        </w:tc>
        <w:tc>
          <w:tcPr>
            <w:tcW w:w="2730" w:type="dxa"/>
            <w:vAlign w:val="center"/>
          </w:tcPr>
          <w:p w:rsidR="009500F4" w:rsidRDefault="00975E3F">
            <w:pPr>
              <w:spacing w:line="500" w:lineRule="exact"/>
              <w:jc w:val="center"/>
              <w:rPr>
                <w:rFonts w:ascii="仿宋_GB2312" w:eastAsia="仿宋_GB2312"/>
                <w:b/>
                <w:sz w:val="32"/>
                <w:szCs w:val="32"/>
              </w:rPr>
            </w:pPr>
            <w:r>
              <w:rPr>
                <w:rFonts w:ascii="仿宋_GB2312" w:eastAsia="仿宋_GB2312" w:hint="eastAsia"/>
                <w:b/>
                <w:sz w:val="32"/>
                <w:szCs w:val="32"/>
              </w:rPr>
              <w:t>单位及职务</w:t>
            </w:r>
          </w:p>
        </w:tc>
        <w:tc>
          <w:tcPr>
            <w:tcW w:w="2295" w:type="dxa"/>
            <w:vAlign w:val="center"/>
          </w:tcPr>
          <w:p w:rsidR="009500F4" w:rsidRDefault="00975E3F">
            <w:pPr>
              <w:spacing w:line="500" w:lineRule="exact"/>
              <w:jc w:val="center"/>
              <w:rPr>
                <w:rFonts w:ascii="仿宋_GB2312" w:eastAsia="仿宋_GB2312"/>
                <w:b/>
                <w:sz w:val="32"/>
                <w:szCs w:val="32"/>
              </w:rPr>
            </w:pPr>
            <w:r>
              <w:rPr>
                <w:rFonts w:ascii="仿宋_GB2312" w:eastAsia="仿宋_GB2312" w:hint="eastAsia"/>
                <w:b/>
                <w:sz w:val="32"/>
                <w:szCs w:val="32"/>
              </w:rPr>
              <w:t>座机号码</w:t>
            </w:r>
          </w:p>
        </w:tc>
        <w:tc>
          <w:tcPr>
            <w:tcW w:w="2430" w:type="dxa"/>
            <w:vAlign w:val="center"/>
          </w:tcPr>
          <w:p w:rsidR="009500F4" w:rsidRDefault="00975E3F">
            <w:pPr>
              <w:spacing w:line="500" w:lineRule="exact"/>
              <w:jc w:val="center"/>
              <w:rPr>
                <w:rFonts w:ascii="仿宋_GB2312" w:eastAsia="仿宋_GB2312"/>
                <w:b/>
                <w:sz w:val="32"/>
                <w:szCs w:val="32"/>
              </w:rPr>
            </w:pPr>
            <w:r>
              <w:rPr>
                <w:rFonts w:ascii="仿宋_GB2312" w:eastAsia="仿宋_GB2312" w:hint="eastAsia"/>
                <w:b/>
                <w:sz w:val="32"/>
                <w:szCs w:val="32"/>
              </w:rPr>
              <w:t>手机号码</w:t>
            </w:r>
          </w:p>
        </w:tc>
      </w:tr>
      <w:tr w:rsidR="009500F4">
        <w:trPr>
          <w:trHeight w:hRule="exact" w:val="1134"/>
        </w:trPr>
        <w:tc>
          <w:tcPr>
            <w:tcW w:w="1482" w:type="dxa"/>
            <w:vAlign w:val="center"/>
          </w:tcPr>
          <w:p w:rsidR="009500F4" w:rsidRDefault="009500F4">
            <w:pPr>
              <w:spacing w:line="500" w:lineRule="exact"/>
              <w:jc w:val="center"/>
              <w:rPr>
                <w:rFonts w:ascii="仿宋_GB2312" w:eastAsia="仿宋_GB2312"/>
                <w:sz w:val="32"/>
                <w:szCs w:val="32"/>
              </w:rPr>
            </w:pPr>
          </w:p>
        </w:tc>
        <w:tc>
          <w:tcPr>
            <w:tcW w:w="2730" w:type="dxa"/>
            <w:vAlign w:val="center"/>
          </w:tcPr>
          <w:p w:rsidR="009500F4" w:rsidRDefault="009500F4">
            <w:pPr>
              <w:spacing w:line="500" w:lineRule="exact"/>
              <w:jc w:val="center"/>
              <w:rPr>
                <w:rFonts w:ascii="仿宋_GB2312" w:eastAsia="仿宋_GB2312"/>
                <w:sz w:val="32"/>
                <w:szCs w:val="32"/>
              </w:rPr>
            </w:pPr>
          </w:p>
        </w:tc>
        <w:tc>
          <w:tcPr>
            <w:tcW w:w="2295" w:type="dxa"/>
            <w:vAlign w:val="center"/>
          </w:tcPr>
          <w:p w:rsidR="009500F4" w:rsidRDefault="009500F4">
            <w:pPr>
              <w:spacing w:line="500" w:lineRule="exact"/>
              <w:jc w:val="center"/>
              <w:rPr>
                <w:rFonts w:ascii="仿宋_GB2312" w:eastAsia="仿宋_GB2312"/>
                <w:sz w:val="32"/>
                <w:szCs w:val="32"/>
              </w:rPr>
            </w:pPr>
          </w:p>
        </w:tc>
        <w:tc>
          <w:tcPr>
            <w:tcW w:w="2430" w:type="dxa"/>
            <w:vAlign w:val="center"/>
          </w:tcPr>
          <w:p w:rsidR="009500F4" w:rsidRDefault="009500F4">
            <w:pPr>
              <w:spacing w:line="500" w:lineRule="exact"/>
              <w:jc w:val="center"/>
              <w:rPr>
                <w:rFonts w:ascii="仿宋_GB2312" w:eastAsia="仿宋_GB2312"/>
                <w:sz w:val="32"/>
                <w:szCs w:val="32"/>
              </w:rPr>
            </w:pPr>
          </w:p>
        </w:tc>
      </w:tr>
      <w:tr w:rsidR="009500F4">
        <w:trPr>
          <w:trHeight w:hRule="exact" w:val="1134"/>
        </w:trPr>
        <w:tc>
          <w:tcPr>
            <w:tcW w:w="1482" w:type="dxa"/>
            <w:vAlign w:val="center"/>
          </w:tcPr>
          <w:p w:rsidR="009500F4" w:rsidRDefault="009500F4">
            <w:pPr>
              <w:spacing w:line="500" w:lineRule="exact"/>
              <w:rPr>
                <w:rFonts w:ascii="仿宋_GB2312" w:eastAsia="仿宋_GB2312"/>
                <w:sz w:val="32"/>
                <w:szCs w:val="32"/>
              </w:rPr>
            </w:pPr>
          </w:p>
        </w:tc>
        <w:tc>
          <w:tcPr>
            <w:tcW w:w="2730" w:type="dxa"/>
            <w:vAlign w:val="center"/>
          </w:tcPr>
          <w:p w:rsidR="009500F4" w:rsidRDefault="009500F4">
            <w:pPr>
              <w:spacing w:line="500" w:lineRule="exact"/>
              <w:jc w:val="center"/>
              <w:rPr>
                <w:rFonts w:ascii="仿宋_GB2312" w:eastAsia="仿宋_GB2312"/>
                <w:sz w:val="32"/>
                <w:szCs w:val="32"/>
              </w:rPr>
            </w:pPr>
          </w:p>
        </w:tc>
        <w:tc>
          <w:tcPr>
            <w:tcW w:w="2295" w:type="dxa"/>
            <w:vAlign w:val="center"/>
          </w:tcPr>
          <w:p w:rsidR="009500F4" w:rsidRDefault="009500F4">
            <w:pPr>
              <w:spacing w:line="500" w:lineRule="exact"/>
              <w:jc w:val="center"/>
              <w:rPr>
                <w:rFonts w:ascii="仿宋_GB2312" w:eastAsia="仿宋_GB2312"/>
                <w:sz w:val="32"/>
                <w:szCs w:val="32"/>
              </w:rPr>
            </w:pPr>
          </w:p>
        </w:tc>
        <w:tc>
          <w:tcPr>
            <w:tcW w:w="2430" w:type="dxa"/>
            <w:vAlign w:val="center"/>
          </w:tcPr>
          <w:p w:rsidR="009500F4" w:rsidRDefault="009500F4">
            <w:pPr>
              <w:spacing w:line="500" w:lineRule="exact"/>
              <w:jc w:val="center"/>
              <w:rPr>
                <w:rFonts w:ascii="仿宋_GB2312" w:eastAsia="仿宋_GB2312"/>
                <w:sz w:val="32"/>
                <w:szCs w:val="32"/>
              </w:rPr>
            </w:pPr>
          </w:p>
        </w:tc>
      </w:tr>
    </w:tbl>
    <w:p w:rsidR="009500F4" w:rsidRDefault="009500F4">
      <w:pPr>
        <w:spacing w:line="500" w:lineRule="exact"/>
        <w:rPr>
          <w:rFonts w:ascii="仿宋_GB2312" w:eastAsia="仿宋_GB2312"/>
          <w:sz w:val="30"/>
          <w:szCs w:val="30"/>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75E3F">
      <w:pPr>
        <w:spacing w:line="500" w:lineRule="exact"/>
        <w:jc w:val="left"/>
        <w:outlineLvl w:val="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lastRenderedPageBreak/>
        <w:t>附件</w:t>
      </w:r>
      <w:r>
        <w:rPr>
          <w:rFonts w:ascii="方正黑体简体" w:eastAsia="方正黑体简体" w:hAnsi="方正黑体简体" w:cs="方正黑体简体" w:hint="eastAsia"/>
          <w:bCs/>
          <w:sz w:val="32"/>
          <w:szCs w:val="32"/>
        </w:rPr>
        <w:t>2</w:t>
      </w: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75E3F">
      <w:pPr>
        <w:spacing w:line="500" w:lineRule="exact"/>
        <w:jc w:val="center"/>
        <w:outlineLvl w:val="0"/>
        <w:rPr>
          <w:rFonts w:ascii="方正小标宋简体" w:eastAsia="方正小标宋简体" w:hAnsi="方正黑体简体" w:cs="方正黑体简体"/>
          <w:bCs/>
          <w:sz w:val="44"/>
          <w:szCs w:val="44"/>
        </w:rPr>
      </w:pPr>
      <w:r>
        <w:rPr>
          <w:rFonts w:ascii="方正小标宋简体" w:eastAsia="方正小标宋简体" w:hAnsi="方正黑体简体" w:cs="方正黑体简体" w:hint="eastAsia"/>
          <w:bCs/>
          <w:sz w:val="44"/>
          <w:szCs w:val="44"/>
        </w:rPr>
        <w:t>机关事务工作“十三五”规划总结评估报告</w:t>
      </w:r>
    </w:p>
    <w:p w:rsidR="009500F4" w:rsidRDefault="00975E3F">
      <w:pPr>
        <w:spacing w:line="500" w:lineRule="exact"/>
        <w:jc w:val="center"/>
        <w:outlineLvl w:val="0"/>
        <w:rPr>
          <w:rFonts w:ascii="仿宋_GB2312" w:eastAsia="仿宋_GB2312" w:hAnsi="方正黑体简体" w:cs="方正黑体简体"/>
          <w:bCs/>
          <w:sz w:val="32"/>
          <w:szCs w:val="32"/>
        </w:rPr>
      </w:pPr>
      <w:r>
        <w:rPr>
          <w:rFonts w:ascii="仿宋_GB2312" w:eastAsia="仿宋_GB2312" w:hAnsi="方正黑体简体" w:cs="方正黑体简体" w:hint="eastAsia"/>
          <w:bCs/>
          <w:sz w:val="32"/>
          <w:szCs w:val="32"/>
        </w:rPr>
        <w:t>（模板）</w:t>
      </w:r>
    </w:p>
    <w:p w:rsidR="009500F4" w:rsidRDefault="00975E3F">
      <w:pPr>
        <w:spacing w:line="500" w:lineRule="exact"/>
        <w:ind w:firstLineChars="200" w:firstLine="640"/>
        <w:outlineLvl w:val="0"/>
        <w:rPr>
          <w:rFonts w:ascii="黑体" w:eastAsia="黑体" w:hAnsi="黑体" w:cs="方正黑体简体"/>
          <w:bCs/>
          <w:sz w:val="32"/>
          <w:szCs w:val="32"/>
        </w:rPr>
      </w:pPr>
      <w:r>
        <w:rPr>
          <w:rFonts w:ascii="黑体" w:eastAsia="黑体" w:hAnsi="黑体" w:cs="方正黑体简体" w:hint="eastAsia"/>
          <w:bCs/>
          <w:sz w:val="32"/>
          <w:szCs w:val="32"/>
        </w:rPr>
        <w:t>一、工作开展情况</w:t>
      </w:r>
    </w:p>
    <w:p w:rsidR="009500F4" w:rsidRDefault="00975E3F">
      <w:pPr>
        <w:spacing w:line="500" w:lineRule="exact"/>
        <w:ind w:firstLineChars="200" w:firstLine="640"/>
        <w:outlineLvl w:val="0"/>
        <w:rPr>
          <w:rFonts w:ascii="仿宋_GB2312" w:eastAsia="仿宋_GB2312" w:hAnsi="方正黑体简体" w:cs="方正黑体简体"/>
          <w:bCs/>
          <w:sz w:val="32"/>
          <w:szCs w:val="32"/>
        </w:rPr>
      </w:pPr>
      <w:r>
        <w:rPr>
          <w:rFonts w:ascii="仿宋_GB2312" w:eastAsia="仿宋_GB2312" w:hAnsi="方正黑体简体" w:cs="方正黑体简体" w:hint="eastAsia"/>
          <w:bCs/>
          <w:sz w:val="32"/>
          <w:szCs w:val="32"/>
        </w:rPr>
        <w:t>（一）组织开展本县区机关事务工作“十三五”规划实施总结评估工作情况。</w:t>
      </w:r>
    </w:p>
    <w:p w:rsidR="009500F4" w:rsidRDefault="00975E3F">
      <w:pPr>
        <w:spacing w:line="500" w:lineRule="exact"/>
        <w:ind w:firstLineChars="200" w:firstLine="640"/>
        <w:outlineLvl w:val="0"/>
        <w:rPr>
          <w:rFonts w:ascii="仿宋_GB2312" w:eastAsia="仿宋_GB2312"/>
          <w:sz w:val="32"/>
          <w:szCs w:val="32"/>
        </w:rPr>
      </w:pPr>
      <w:r>
        <w:rPr>
          <w:rFonts w:ascii="仿宋_GB2312" w:eastAsia="仿宋_GB2312" w:hAnsi="方正黑体简体" w:cs="方正黑体简体" w:hint="eastAsia"/>
          <w:bCs/>
          <w:sz w:val="32"/>
          <w:szCs w:val="32"/>
        </w:rPr>
        <w:t>（二）</w:t>
      </w:r>
      <w:r>
        <w:rPr>
          <w:rFonts w:ascii="仿宋_GB2312" w:eastAsia="仿宋_GB2312" w:hint="eastAsia"/>
          <w:sz w:val="32"/>
          <w:szCs w:val="32"/>
        </w:rPr>
        <w:t>《</w:t>
      </w:r>
      <w:r>
        <w:rPr>
          <w:rFonts w:ascii="仿宋_GB2312" w:eastAsia="仿宋_GB2312" w:hAnsi="仿宋_GB2312" w:cs="仿宋_GB2312" w:hint="eastAsia"/>
          <w:sz w:val="32"/>
          <w:szCs w:val="32"/>
        </w:rPr>
        <w:t>安康市机关事务工作“十三五”时期规划</w:t>
      </w:r>
      <w:r>
        <w:rPr>
          <w:rFonts w:ascii="仿宋_GB2312" w:eastAsia="仿宋_GB2312" w:hint="eastAsia"/>
          <w:sz w:val="32"/>
          <w:szCs w:val="32"/>
        </w:rPr>
        <w:t>》贯彻落实的总体情况。</w:t>
      </w:r>
    </w:p>
    <w:p w:rsidR="009500F4" w:rsidRDefault="00975E3F">
      <w:pPr>
        <w:spacing w:line="500" w:lineRule="exact"/>
        <w:ind w:firstLineChars="200" w:firstLine="640"/>
        <w:outlineLvl w:val="0"/>
        <w:rPr>
          <w:rFonts w:ascii="仿宋_GB2312" w:eastAsia="仿宋_GB2312"/>
          <w:sz w:val="32"/>
          <w:szCs w:val="32"/>
        </w:rPr>
      </w:pPr>
      <w:r>
        <w:rPr>
          <w:rFonts w:ascii="仿宋_GB2312" w:eastAsia="仿宋_GB2312" w:hint="eastAsia"/>
          <w:sz w:val="32"/>
          <w:szCs w:val="32"/>
        </w:rPr>
        <w:t>（三）《</w:t>
      </w:r>
      <w:r>
        <w:rPr>
          <w:rFonts w:ascii="仿宋_GB2312" w:eastAsia="仿宋_GB2312" w:hAnsi="仿宋_GB2312" w:cs="仿宋_GB2312" w:hint="eastAsia"/>
          <w:sz w:val="32"/>
          <w:szCs w:val="32"/>
        </w:rPr>
        <w:t>安康市机关事务工作“十三五”时期规划</w:t>
      </w:r>
      <w:r>
        <w:rPr>
          <w:rFonts w:ascii="仿宋_GB2312" w:eastAsia="仿宋_GB2312" w:hint="eastAsia"/>
          <w:sz w:val="32"/>
          <w:szCs w:val="32"/>
        </w:rPr>
        <w:t>》确定的各项目标指标实现情况。</w:t>
      </w:r>
    </w:p>
    <w:p w:rsidR="009500F4" w:rsidRDefault="00975E3F">
      <w:pPr>
        <w:spacing w:line="500" w:lineRule="exact"/>
        <w:ind w:firstLineChars="200" w:firstLine="640"/>
        <w:outlineLvl w:val="0"/>
        <w:rPr>
          <w:rFonts w:ascii="仿宋_GB2312" w:eastAsia="仿宋_GB2312"/>
          <w:sz w:val="32"/>
          <w:szCs w:val="32"/>
        </w:rPr>
      </w:pPr>
      <w:r>
        <w:rPr>
          <w:rFonts w:ascii="仿宋_GB2312" w:eastAsia="仿宋_GB2312" w:hint="eastAsia"/>
          <w:sz w:val="32"/>
          <w:szCs w:val="32"/>
        </w:rPr>
        <w:t>（四）“十三五”期间机关事务各项重点工作开展情况。既包括国有资产管理、房地产管理、公共机构节能、公车制度改革、住房制度改革、国内公务接待管理、机关运行经费管理、推进后勤服务社会化、机关事务法治建设和机关事务自身建设等规划明确规定的工作情况，也包括加强政治建设、省部级干部清房、理论研究、加强本县区行业指导等工作情况。</w:t>
      </w:r>
    </w:p>
    <w:p w:rsidR="009500F4" w:rsidRDefault="00975E3F">
      <w:pPr>
        <w:spacing w:line="500" w:lineRule="exact"/>
        <w:ind w:firstLineChars="200" w:firstLine="640"/>
        <w:outlineLvl w:val="0"/>
        <w:rPr>
          <w:rFonts w:ascii="黑体" w:eastAsia="黑体" w:hAnsi="黑体" w:cs="方正黑体简体"/>
          <w:bCs/>
          <w:sz w:val="32"/>
          <w:szCs w:val="32"/>
        </w:rPr>
      </w:pPr>
      <w:r>
        <w:rPr>
          <w:rFonts w:ascii="黑体" w:eastAsia="黑体" w:hAnsi="黑体" w:cs="方正黑体简体" w:hint="eastAsia"/>
          <w:bCs/>
          <w:sz w:val="32"/>
          <w:szCs w:val="32"/>
        </w:rPr>
        <w:t>二、主要做法和经验</w:t>
      </w:r>
    </w:p>
    <w:p w:rsidR="009500F4" w:rsidRDefault="00975E3F">
      <w:pPr>
        <w:spacing w:line="500" w:lineRule="exact"/>
        <w:ind w:firstLineChars="200" w:firstLine="640"/>
        <w:outlineLvl w:val="0"/>
        <w:rPr>
          <w:rFonts w:ascii="仿宋_GB2312" w:eastAsia="仿宋_GB2312"/>
          <w:sz w:val="32"/>
          <w:szCs w:val="32"/>
        </w:rPr>
      </w:pPr>
      <w:r>
        <w:rPr>
          <w:rFonts w:ascii="仿宋_GB2312" w:eastAsia="仿宋_GB2312" w:hAnsi="方正黑体简体" w:cs="方正黑体简体" w:hint="eastAsia"/>
          <w:bCs/>
          <w:sz w:val="32"/>
          <w:szCs w:val="32"/>
        </w:rPr>
        <w:t>（一）推动落实</w:t>
      </w:r>
      <w:r>
        <w:rPr>
          <w:rFonts w:ascii="仿宋_GB2312" w:eastAsia="仿宋_GB2312" w:hint="eastAsia"/>
          <w:sz w:val="32"/>
          <w:szCs w:val="32"/>
        </w:rPr>
        <w:t>《</w:t>
      </w:r>
      <w:r>
        <w:rPr>
          <w:rFonts w:ascii="仿宋_GB2312" w:eastAsia="仿宋_GB2312" w:hAnsi="仿宋_GB2312" w:cs="仿宋_GB2312" w:hint="eastAsia"/>
          <w:sz w:val="32"/>
          <w:szCs w:val="32"/>
        </w:rPr>
        <w:t>安康市机关事务工作“十</w:t>
      </w:r>
      <w:r>
        <w:rPr>
          <w:rFonts w:ascii="仿宋_GB2312" w:eastAsia="仿宋_GB2312" w:hAnsi="仿宋_GB2312" w:cs="仿宋_GB2312" w:hint="eastAsia"/>
          <w:sz w:val="32"/>
          <w:szCs w:val="32"/>
        </w:rPr>
        <w:t>三五”时期规划</w:t>
      </w:r>
      <w:r>
        <w:rPr>
          <w:rFonts w:ascii="仿宋_GB2312" w:eastAsia="仿宋_GB2312" w:hint="eastAsia"/>
          <w:sz w:val="32"/>
          <w:szCs w:val="32"/>
        </w:rPr>
        <w:t>》目标任务的主要做法。</w:t>
      </w:r>
    </w:p>
    <w:p w:rsidR="009500F4" w:rsidRDefault="00975E3F">
      <w:pPr>
        <w:spacing w:line="500" w:lineRule="exact"/>
        <w:ind w:firstLineChars="200" w:firstLine="640"/>
        <w:outlineLvl w:val="0"/>
        <w:rPr>
          <w:rFonts w:ascii="仿宋_GB2312" w:eastAsia="仿宋_GB2312" w:hAnsi="方正黑体简体" w:cs="方正黑体简体"/>
          <w:bCs/>
          <w:sz w:val="32"/>
          <w:szCs w:val="32"/>
        </w:rPr>
      </w:pPr>
      <w:r>
        <w:rPr>
          <w:rFonts w:ascii="仿宋_GB2312" w:eastAsia="仿宋_GB2312" w:hint="eastAsia"/>
          <w:sz w:val="32"/>
          <w:szCs w:val="32"/>
        </w:rPr>
        <w:t>（二）贯彻落实规划过程中形成的有益探索和优秀经验。</w:t>
      </w:r>
    </w:p>
    <w:p w:rsidR="009500F4" w:rsidRDefault="00975E3F">
      <w:pPr>
        <w:spacing w:line="500" w:lineRule="exact"/>
        <w:ind w:firstLineChars="200" w:firstLine="640"/>
        <w:outlineLvl w:val="0"/>
        <w:rPr>
          <w:rFonts w:ascii="黑体" w:eastAsia="黑体" w:hAnsi="黑体" w:cs="方正黑体简体"/>
          <w:bCs/>
          <w:sz w:val="32"/>
          <w:szCs w:val="32"/>
        </w:rPr>
      </w:pPr>
      <w:r>
        <w:rPr>
          <w:rFonts w:ascii="黑体" w:eastAsia="黑体" w:hAnsi="黑体" w:cs="方正黑体简体" w:hint="eastAsia"/>
          <w:bCs/>
          <w:sz w:val="32"/>
          <w:szCs w:val="32"/>
        </w:rPr>
        <w:t>三、存在的问题和困难</w:t>
      </w:r>
    </w:p>
    <w:p w:rsidR="009500F4" w:rsidRDefault="00975E3F">
      <w:pPr>
        <w:spacing w:line="500" w:lineRule="exact"/>
        <w:ind w:firstLineChars="200" w:firstLine="640"/>
        <w:outlineLvl w:val="0"/>
        <w:rPr>
          <w:rFonts w:ascii="黑体" w:eastAsia="黑体" w:hAnsi="黑体" w:cs="方正黑体简体"/>
          <w:bCs/>
          <w:sz w:val="32"/>
          <w:szCs w:val="32"/>
        </w:rPr>
      </w:pPr>
      <w:r>
        <w:rPr>
          <w:rFonts w:ascii="黑体" w:eastAsia="黑体" w:hAnsi="黑体" w:cs="方正黑体简体" w:hint="eastAsia"/>
          <w:bCs/>
          <w:sz w:val="32"/>
          <w:szCs w:val="32"/>
        </w:rPr>
        <w:t>四、工作建议</w:t>
      </w:r>
    </w:p>
    <w:p w:rsidR="009500F4" w:rsidRDefault="00975E3F">
      <w:pPr>
        <w:spacing w:line="500" w:lineRule="exact"/>
        <w:ind w:firstLineChars="200" w:firstLine="640"/>
        <w:outlineLvl w:val="0"/>
        <w:rPr>
          <w:rFonts w:ascii="仿宋_GB2312" w:eastAsia="仿宋_GB2312" w:hAnsi="方正黑体简体" w:cs="方正黑体简体"/>
          <w:bCs/>
          <w:sz w:val="32"/>
          <w:szCs w:val="32"/>
        </w:rPr>
      </w:pPr>
      <w:r>
        <w:rPr>
          <w:rFonts w:ascii="仿宋_GB2312" w:eastAsia="仿宋_GB2312" w:hAnsi="方正黑体简体" w:cs="方正黑体简体" w:hint="eastAsia"/>
          <w:bCs/>
          <w:sz w:val="32"/>
          <w:szCs w:val="32"/>
        </w:rPr>
        <w:t>包括对“十四五”时期机关事工作发展形势的判断分析以及对编制《</w:t>
      </w:r>
      <w:r>
        <w:rPr>
          <w:rFonts w:ascii="仿宋_GB2312" w:eastAsia="仿宋_GB2312" w:hAnsi="仿宋_GB2312" w:cs="仿宋_GB2312" w:hint="eastAsia"/>
          <w:sz w:val="32"/>
          <w:szCs w:val="32"/>
        </w:rPr>
        <w:t>安康市</w:t>
      </w:r>
      <w:r>
        <w:rPr>
          <w:rFonts w:ascii="仿宋_GB2312" w:eastAsia="仿宋_GB2312" w:hAnsi="方正黑体简体" w:cs="方正黑体简体" w:hint="eastAsia"/>
          <w:bCs/>
          <w:sz w:val="32"/>
          <w:szCs w:val="32"/>
        </w:rPr>
        <w:t>机关事务工作“十四五”规划》的意见建议。</w:t>
      </w: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75E3F">
      <w:pPr>
        <w:spacing w:line="500" w:lineRule="exact"/>
        <w:jc w:val="left"/>
        <w:outlineLvl w:val="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附件</w:t>
      </w:r>
      <w:r>
        <w:rPr>
          <w:rFonts w:ascii="方正黑体简体" w:eastAsia="方正黑体简体" w:hAnsi="方正黑体简体" w:cs="方正黑体简体" w:hint="eastAsia"/>
          <w:bCs/>
          <w:sz w:val="32"/>
          <w:szCs w:val="32"/>
        </w:rPr>
        <w:t>3</w:t>
      </w:r>
    </w:p>
    <w:p w:rsidR="009500F4" w:rsidRDefault="009500F4">
      <w:pPr>
        <w:spacing w:line="500" w:lineRule="exact"/>
        <w:jc w:val="left"/>
        <w:outlineLvl w:val="0"/>
        <w:rPr>
          <w:rFonts w:ascii="方正黑体简体" w:eastAsia="方正黑体简体" w:hAnsi="方正黑体简体" w:cs="方正黑体简体"/>
          <w:bCs/>
          <w:sz w:val="32"/>
          <w:szCs w:val="32"/>
        </w:rPr>
      </w:pPr>
    </w:p>
    <w:p w:rsidR="009500F4" w:rsidRDefault="00975E3F">
      <w:pPr>
        <w:spacing w:line="50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机关事务工作“十三五”规划评估量化指标</w:t>
      </w:r>
    </w:p>
    <w:p w:rsidR="009500F4" w:rsidRDefault="009500F4">
      <w:pPr>
        <w:spacing w:line="500" w:lineRule="exact"/>
        <w:rPr>
          <w:rFonts w:ascii="方正黑体简体" w:eastAsia="方正黑体简体" w:hAnsi="方正黑体简体" w:cs="方正黑体简体"/>
          <w:sz w:val="32"/>
        </w:rPr>
      </w:pPr>
    </w:p>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一、机关事务管理部门基本情况</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县区机关事务管理部门的数量、性质（行政、参公、事业、其他），人员数量及编制情况。</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1 </w:t>
      </w:r>
      <w:r>
        <w:rPr>
          <w:rFonts w:ascii="楷体_GB2312" w:eastAsia="楷体_GB2312" w:hAnsi="方正小标宋_GBK" w:hint="eastAsia"/>
          <w:b/>
          <w:sz w:val="28"/>
          <w:szCs w:val="28"/>
        </w:rPr>
        <w:t>机关事务管理部门基本情况</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4557"/>
        <w:gridCol w:w="825"/>
        <w:gridCol w:w="870"/>
        <w:gridCol w:w="795"/>
        <w:gridCol w:w="815"/>
      </w:tblGrid>
      <w:tr w:rsidR="009500F4">
        <w:trPr>
          <w:trHeight w:val="168"/>
          <w:jc w:val="center"/>
        </w:trPr>
        <w:tc>
          <w:tcPr>
            <w:tcW w:w="1084" w:type="dxa"/>
            <w:vMerge w:val="restart"/>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4557" w:type="dxa"/>
            <w:vMerge w:val="restart"/>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3305" w:type="dxa"/>
            <w:gridSpan w:val="4"/>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trHeight w:val="538"/>
          <w:jc w:val="center"/>
        </w:trPr>
        <w:tc>
          <w:tcPr>
            <w:tcW w:w="1084" w:type="dxa"/>
            <w:vMerge/>
            <w:vAlign w:val="center"/>
          </w:tcPr>
          <w:p w:rsidR="009500F4" w:rsidRDefault="009500F4">
            <w:pPr>
              <w:spacing w:line="500" w:lineRule="exact"/>
              <w:jc w:val="center"/>
              <w:rPr>
                <w:rFonts w:ascii="黑体" w:eastAsia="黑体" w:hAnsi="黑体"/>
                <w:sz w:val="28"/>
                <w:szCs w:val="28"/>
              </w:rPr>
            </w:pPr>
          </w:p>
        </w:tc>
        <w:tc>
          <w:tcPr>
            <w:tcW w:w="4557" w:type="dxa"/>
            <w:vMerge/>
            <w:vAlign w:val="center"/>
          </w:tcPr>
          <w:p w:rsidR="009500F4" w:rsidRDefault="009500F4">
            <w:pPr>
              <w:spacing w:line="500" w:lineRule="exact"/>
              <w:jc w:val="center"/>
              <w:rPr>
                <w:rFonts w:ascii="黑体" w:eastAsia="黑体" w:hAnsi="黑体"/>
                <w:sz w:val="28"/>
                <w:szCs w:val="28"/>
              </w:rPr>
            </w:pPr>
          </w:p>
        </w:tc>
        <w:tc>
          <w:tcPr>
            <w:tcW w:w="825" w:type="dxa"/>
            <w:vAlign w:val="center"/>
          </w:tcPr>
          <w:p w:rsidR="009500F4" w:rsidRDefault="00975E3F">
            <w:pPr>
              <w:spacing w:line="500" w:lineRule="exact"/>
              <w:jc w:val="center"/>
              <w:rPr>
                <w:rFonts w:ascii="黑体" w:eastAsia="黑体" w:hAnsi="黑体"/>
                <w:sz w:val="28"/>
                <w:szCs w:val="28"/>
              </w:rPr>
            </w:pPr>
            <w:r>
              <w:rPr>
                <w:rFonts w:ascii="楷体_GB2312" w:eastAsia="楷体_GB2312" w:hAnsi="方正小标宋_GBK" w:hint="eastAsia"/>
                <w:sz w:val="28"/>
                <w:szCs w:val="28"/>
              </w:rPr>
              <w:t>行政</w:t>
            </w:r>
          </w:p>
        </w:tc>
        <w:tc>
          <w:tcPr>
            <w:tcW w:w="870" w:type="dxa"/>
            <w:vAlign w:val="center"/>
          </w:tcPr>
          <w:p w:rsidR="009500F4" w:rsidRDefault="00975E3F">
            <w:pPr>
              <w:spacing w:line="500" w:lineRule="exact"/>
              <w:jc w:val="center"/>
              <w:rPr>
                <w:rFonts w:ascii="黑体" w:eastAsia="黑体" w:hAnsi="黑体"/>
                <w:sz w:val="28"/>
                <w:szCs w:val="28"/>
              </w:rPr>
            </w:pPr>
            <w:proofErr w:type="gramStart"/>
            <w:r>
              <w:rPr>
                <w:rFonts w:ascii="楷体_GB2312" w:eastAsia="楷体_GB2312" w:hAnsi="方正小标宋_GBK" w:hint="eastAsia"/>
                <w:sz w:val="28"/>
                <w:szCs w:val="28"/>
              </w:rPr>
              <w:t>参公</w:t>
            </w:r>
            <w:proofErr w:type="gramEnd"/>
          </w:p>
        </w:tc>
        <w:tc>
          <w:tcPr>
            <w:tcW w:w="795" w:type="dxa"/>
            <w:vAlign w:val="center"/>
          </w:tcPr>
          <w:p w:rsidR="009500F4" w:rsidRDefault="00975E3F">
            <w:pPr>
              <w:spacing w:line="500" w:lineRule="exact"/>
              <w:jc w:val="center"/>
              <w:rPr>
                <w:rFonts w:ascii="黑体" w:eastAsia="黑体" w:hAnsi="黑体"/>
                <w:sz w:val="28"/>
                <w:szCs w:val="28"/>
              </w:rPr>
            </w:pPr>
            <w:r>
              <w:rPr>
                <w:rFonts w:ascii="楷体_GB2312" w:eastAsia="楷体_GB2312" w:hAnsi="方正小标宋_GBK" w:hint="eastAsia"/>
                <w:sz w:val="28"/>
                <w:szCs w:val="28"/>
              </w:rPr>
              <w:t>事业</w:t>
            </w:r>
          </w:p>
        </w:tc>
        <w:tc>
          <w:tcPr>
            <w:tcW w:w="815" w:type="dxa"/>
            <w:vAlign w:val="center"/>
          </w:tcPr>
          <w:p w:rsidR="009500F4" w:rsidRDefault="00975E3F">
            <w:pPr>
              <w:spacing w:line="500" w:lineRule="exact"/>
              <w:jc w:val="center"/>
              <w:rPr>
                <w:rFonts w:ascii="黑体" w:eastAsia="黑体" w:hAnsi="黑体"/>
                <w:sz w:val="28"/>
                <w:szCs w:val="28"/>
              </w:rPr>
            </w:pPr>
            <w:r>
              <w:rPr>
                <w:rFonts w:ascii="楷体_GB2312" w:eastAsia="楷体_GB2312" w:hAnsi="方正小标宋_GBK" w:hint="eastAsia"/>
                <w:sz w:val="28"/>
                <w:szCs w:val="28"/>
              </w:rPr>
              <w:t>其他</w:t>
            </w:r>
          </w:p>
        </w:tc>
      </w:tr>
      <w:tr w:rsidR="009500F4">
        <w:trPr>
          <w:trHeight w:val="616"/>
          <w:jc w:val="center"/>
        </w:trPr>
        <w:tc>
          <w:tcPr>
            <w:tcW w:w="1084"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w:t>
            </w:r>
            <w:r>
              <w:rPr>
                <w:rFonts w:ascii="楷体_GB2312" w:eastAsia="楷体_GB2312" w:hAnsi="方正小标宋_GBK" w:hint="eastAsia"/>
                <w:sz w:val="28"/>
                <w:szCs w:val="28"/>
              </w:rPr>
              <w:t xml:space="preserve">  </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455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机关事务管理部门数量（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825" w:type="dxa"/>
            <w:vAlign w:val="center"/>
          </w:tcPr>
          <w:p w:rsidR="009500F4" w:rsidRDefault="009500F4">
            <w:pPr>
              <w:spacing w:line="500" w:lineRule="exact"/>
              <w:jc w:val="center"/>
              <w:rPr>
                <w:rFonts w:ascii="楷体_GB2312" w:eastAsia="楷体_GB2312" w:hAnsi="方正小标宋_GBK"/>
                <w:sz w:val="28"/>
                <w:szCs w:val="28"/>
              </w:rPr>
            </w:pPr>
          </w:p>
        </w:tc>
        <w:tc>
          <w:tcPr>
            <w:tcW w:w="870" w:type="dxa"/>
            <w:vAlign w:val="center"/>
          </w:tcPr>
          <w:p w:rsidR="009500F4" w:rsidRDefault="009500F4">
            <w:pPr>
              <w:spacing w:line="500" w:lineRule="exact"/>
              <w:jc w:val="center"/>
              <w:rPr>
                <w:rFonts w:ascii="楷体_GB2312" w:eastAsia="楷体_GB2312" w:hAnsi="方正小标宋_GBK"/>
                <w:sz w:val="28"/>
                <w:szCs w:val="28"/>
              </w:rPr>
            </w:pPr>
          </w:p>
        </w:tc>
        <w:tc>
          <w:tcPr>
            <w:tcW w:w="795" w:type="dxa"/>
            <w:vAlign w:val="center"/>
          </w:tcPr>
          <w:p w:rsidR="009500F4" w:rsidRDefault="009500F4">
            <w:pPr>
              <w:spacing w:line="500" w:lineRule="exact"/>
              <w:jc w:val="center"/>
              <w:rPr>
                <w:rFonts w:ascii="楷体_GB2312" w:eastAsia="楷体_GB2312" w:hAnsi="方正小标宋_GBK"/>
                <w:sz w:val="28"/>
                <w:szCs w:val="28"/>
              </w:rPr>
            </w:pPr>
          </w:p>
        </w:tc>
        <w:tc>
          <w:tcPr>
            <w:tcW w:w="81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62"/>
          <w:jc w:val="center"/>
        </w:trPr>
        <w:tc>
          <w:tcPr>
            <w:tcW w:w="1084" w:type="dxa"/>
            <w:vMerge/>
          </w:tcPr>
          <w:p w:rsidR="009500F4" w:rsidRDefault="009500F4">
            <w:pPr>
              <w:spacing w:line="500" w:lineRule="exact"/>
              <w:rPr>
                <w:rFonts w:ascii="楷体_GB2312" w:eastAsia="楷体_GB2312" w:hAnsi="方正小标宋_GBK"/>
                <w:sz w:val="28"/>
                <w:szCs w:val="28"/>
              </w:rPr>
            </w:pPr>
          </w:p>
        </w:tc>
        <w:tc>
          <w:tcPr>
            <w:tcW w:w="455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机关事务管理部门实有人员数量（人）</w:t>
            </w:r>
          </w:p>
        </w:tc>
        <w:tc>
          <w:tcPr>
            <w:tcW w:w="825" w:type="dxa"/>
            <w:vAlign w:val="center"/>
          </w:tcPr>
          <w:p w:rsidR="009500F4" w:rsidRDefault="009500F4">
            <w:pPr>
              <w:spacing w:line="500" w:lineRule="exact"/>
              <w:jc w:val="center"/>
              <w:rPr>
                <w:rFonts w:ascii="楷体_GB2312" w:eastAsia="楷体_GB2312" w:hAnsi="方正小标宋_GBK"/>
                <w:sz w:val="28"/>
                <w:szCs w:val="28"/>
              </w:rPr>
            </w:pPr>
          </w:p>
        </w:tc>
        <w:tc>
          <w:tcPr>
            <w:tcW w:w="870" w:type="dxa"/>
            <w:vAlign w:val="center"/>
          </w:tcPr>
          <w:p w:rsidR="009500F4" w:rsidRDefault="009500F4">
            <w:pPr>
              <w:spacing w:line="500" w:lineRule="exact"/>
              <w:jc w:val="center"/>
              <w:rPr>
                <w:rFonts w:ascii="楷体_GB2312" w:eastAsia="楷体_GB2312" w:hAnsi="方正小标宋_GBK"/>
                <w:sz w:val="28"/>
                <w:szCs w:val="28"/>
              </w:rPr>
            </w:pPr>
          </w:p>
        </w:tc>
        <w:tc>
          <w:tcPr>
            <w:tcW w:w="795" w:type="dxa"/>
            <w:vAlign w:val="center"/>
          </w:tcPr>
          <w:p w:rsidR="009500F4" w:rsidRDefault="009500F4">
            <w:pPr>
              <w:spacing w:line="500" w:lineRule="exact"/>
              <w:jc w:val="center"/>
              <w:rPr>
                <w:rFonts w:ascii="楷体_GB2312" w:eastAsia="楷体_GB2312" w:hAnsi="方正小标宋_GBK"/>
                <w:sz w:val="28"/>
                <w:szCs w:val="28"/>
              </w:rPr>
            </w:pPr>
          </w:p>
        </w:tc>
        <w:tc>
          <w:tcPr>
            <w:tcW w:w="81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102"/>
          <w:jc w:val="center"/>
        </w:trPr>
        <w:tc>
          <w:tcPr>
            <w:tcW w:w="1084" w:type="dxa"/>
            <w:vMerge/>
          </w:tcPr>
          <w:p w:rsidR="009500F4" w:rsidRDefault="009500F4">
            <w:pPr>
              <w:spacing w:line="500" w:lineRule="exact"/>
              <w:rPr>
                <w:rFonts w:ascii="楷体_GB2312" w:eastAsia="楷体_GB2312" w:hAnsi="方正小标宋_GBK"/>
                <w:sz w:val="28"/>
                <w:szCs w:val="28"/>
              </w:rPr>
            </w:pPr>
          </w:p>
        </w:tc>
        <w:tc>
          <w:tcPr>
            <w:tcW w:w="455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机关事务管理部门人员编制（人）</w:t>
            </w:r>
          </w:p>
        </w:tc>
        <w:tc>
          <w:tcPr>
            <w:tcW w:w="825" w:type="dxa"/>
            <w:vAlign w:val="center"/>
          </w:tcPr>
          <w:p w:rsidR="009500F4" w:rsidRDefault="009500F4">
            <w:pPr>
              <w:spacing w:line="500" w:lineRule="exact"/>
              <w:jc w:val="center"/>
              <w:rPr>
                <w:rFonts w:ascii="楷体_GB2312" w:eastAsia="楷体_GB2312" w:hAnsi="方正小标宋_GBK"/>
                <w:sz w:val="28"/>
                <w:szCs w:val="28"/>
              </w:rPr>
            </w:pPr>
          </w:p>
        </w:tc>
        <w:tc>
          <w:tcPr>
            <w:tcW w:w="870" w:type="dxa"/>
            <w:vAlign w:val="center"/>
          </w:tcPr>
          <w:p w:rsidR="009500F4" w:rsidRDefault="009500F4">
            <w:pPr>
              <w:spacing w:line="500" w:lineRule="exact"/>
              <w:jc w:val="center"/>
              <w:rPr>
                <w:rFonts w:ascii="楷体_GB2312" w:eastAsia="楷体_GB2312" w:hAnsi="方正小标宋_GBK"/>
                <w:sz w:val="28"/>
                <w:szCs w:val="28"/>
              </w:rPr>
            </w:pPr>
          </w:p>
        </w:tc>
        <w:tc>
          <w:tcPr>
            <w:tcW w:w="795" w:type="dxa"/>
            <w:vAlign w:val="center"/>
          </w:tcPr>
          <w:p w:rsidR="009500F4" w:rsidRDefault="009500F4">
            <w:pPr>
              <w:spacing w:line="500" w:lineRule="exact"/>
              <w:jc w:val="center"/>
              <w:rPr>
                <w:rFonts w:ascii="楷体_GB2312" w:eastAsia="楷体_GB2312" w:hAnsi="方正小标宋_GBK"/>
                <w:sz w:val="28"/>
                <w:szCs w:val="28"/>
              </w:rPr>
            </w:pPr>
          </w:p>
        </w:tc>
        <w:tc>
          <w:tcPr>
            <w:tcW w:w="815"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二、推进“一体两翼”工作情况</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集中统一管理方面。</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2 </w:t>
      </w:r>
      <w:r>
        <w:rPr>
          <w:rFonts w:ascii="楷体_GB2312" w:eastAsia="楷体_GB2312" w:hAnsi="方正小标宋_GBK" w:hint="eastAsia"/>
          <w:b/>
          <w:sz w:val="28"/>
          <w:szCs w:val="28"/>
        </w:rPr>
        <w:t>机关事务集中统一管理情况</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087"/>
        <w:gridCol w:w="2593"/>
      </w:tblGrid>
      <w:tr w:rsidR="009500F4">
        <w:trPr>
          <w:trHeight w:val="515"/>
          <w:jc w:val="center"/>
        </w:trPr>
        <w:tc>
          <w:tcPr>
            <w:tcW w:w="1135" w:type="dxa"/>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5087"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2593"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trHeight w:val="470"/>
          <w:jc w:val="center"/>
        </w:trPr>
        <w:tc>
          <w:tcPr>
            <w:tcW w:w="1135"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508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现有管理职能数量（项）</w:t>
            </w:r>
          </w:p>
        </w:tc>
        <w:tc>
          <w:tcPr>
            <w:tcW w:w="2593"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99"/>
          <w:jc w:val="center"/>
        </w:trPr>
        <w:tc>
          <w:tcPr>
            <w:tcW w:w="1135" w:type="dxa"/>
            <w:vMerge/>
            <w:vAlign w:val="center"/>
          </w:tcPr>
          <w:p w:rsidR="009500F4" w:rsidRDefault="009500F4">
            <w:pPr>
              <w:spacing w:line="500" w:lineRule="exact"/>
              <w:jc w:val="center"/>
              <w:rPr>
                <w:rFonts w:ascii="楷体_GB2312" w:eastAsia="楷体_GB2312" w:hAnsi="方正小标宋_GBK"/>
                <w:sz w:val="28"/>
                <w:szCs w:val="28"/>
              </w:rPr>
            </w:pPr>
          </w:p>
        </w:tc>
        <w:tc>
          <w:tcPr>
            <w:tcW w:w="508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“十三五”期间新增职能数量（项）</w:t>
            </w:r>
          </w:p>
        </w:tc>
        <w:tc>
          <w:tcPr>
            <w:tcW w:w="2593"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00"/>
          <w:jc w:val="center"/>
        </w:trPr>
        <w:tc>
          <w:tcPr>
            <w:tcW w:w="1135" w:type="dxa"/>
            <w:vMerge/>
            <w:vAlign w:val="center"/>
          </w:tcPr>
          <w:p w:rsidR="009500F4" w:rsidRDefault="009500F4">
            <w:pPr>
              <w:spacing w:line="500" w:lineRule="exact"/>
              <w:jc w:val="center"/>
              <w:rPr>
                <w:rFonts w:ascii="楷体_GB2312" w:eastAsia="楷体_GB2312" w:hAnsi="方正小标宋_GBK"/>
                <w:sz w:val="28"/>
                <w:szCs w:val="28"/>
              </w:rPr>
            </w:pPr>
          </w:p>
        </w:tc>
        <w:tc>
          <w:tcPr>
            <w:tcW w:w="508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管理保障本级部门的数量（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2593"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485"/>
          <w:jc w:val="center"/>
        </w:trPr>
        <w:tc>
          <w:tcPr>
            <w:tcW w:w="1135" w:type="dxa"/>
            <w:vMerge/>
            <w:vAlign w:val="center"/>
          </w:tcPr>
          <w:p w:rsidR="009500F4" w:rsidRDefault="009500F4">
            <w:pPr>
              <w:spacing w:line="500" w:lineRule="exact"/>
              <w:jc w:val="center"/>
              <w:rPr>
                <w:rFonts w:ascii="楷体_GB2312" w:eastAsia="楷体_GB2312" w:hAnsi="方正小标宋_GBK"/>
                <w:sz w:val="28"/>
                <w:szCs w:val="28"/>
              </w:rPr>
            </w:pPr>
          </w:p>
        </w:tc>
        <w:tc>
          <w:tcPr>
            <w:tcW w:w="508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管理保障本级部门的占比（</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2593"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（注：管理保障本级部门的数量</w:t>
      </w:r>
      <w:proofErr w:type="gramStart"/>
      <w:r>
        <w:rPr>
          <w:rFonts w:ascii="楷体_GB2312" w:eastAsia="楷体_GB2312" w:hAnsi="方正小标宋_GBK" w:hint="eastAsia"/>
          <w:sz w:val="28"/>
          <w:szCs w:val="28"/>
        </w:rPr>
        <w:t>指保障</w:t>
      </w:r>
      <w:proofErr w:type="gramEnd"/>
      <w:r>
        <w:rPr>
          <w:rFonts w:ascii="楷体_GB2312" w:eastAsia="楷体_GB2312" w:hAnsi="方正小标宋_GBK" w:hint="eastAsia"/>
          <w:sz w:val="28"/>
          <w:szCs w:val="28"/>
        </w:rPr>
        <w:t>职能涉及到的最大覆盖范围，具体职能请提供文字材料说明。）</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w:t>
      </w:r>
      <w:r>
        <w:rPr>
          <w:rFonts w:ascii="楷体_GB2312" w:eastAsia="楷体_GB2312" w:hAnsi="方正小标宋_GBK" w:hint="eastAsia"/>
          <w:sz w:val="28"/>
          <w:szCs w:val="28"/>
        </w:rPr>
        <w:t>标准化方面。</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3 </w:t>
      </w:r>
      <w:r>
        <w:rPr>
          <w:rFonts w:ascii="楷体_GB2312" w:eastAsia="楷体_GB2312" w:hAnsi="方正小标宋_GBK" w:hint="eastAsia"/>
          <w:b/>
          <w:sz w:val="28"/>
          <w:szCs w:val="28"/>
        </w:rPr>
        <w:t>县级机关事务标准化建设情况</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7"/>
        <w:gridCol w:w="1533"/>
        <w:gridCol w:w="1365"/>
      </w:tblGrid>
      <w:tr w:rsidR="009500F4">
        <w:trPr>
          <w:trHeight w:val="565"/>
          <w:jc w:val="center"/>
        </w:trPr>
        <w:tc>
          <w:tcPr>
            <w:tcW w:w="5867"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lastRenderedPageBreak/>
              <w:t>指标</w:t>
            </w:r>
          </w:p>
        </w:tc>
        <w:tc>
          <w:tcPr>
            <w:tcW w:w="2898" w:type="dxa"/>
            <w:gridSpan w:val="2"/>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trHeight w:val="540"/>
          <w:jc w:val="center"/>
        </w:trPr>
        <w:tc>
          <w:tcPr>
            <w:tcW w:w="586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是否成立标准化领导机构、工作机构</w:t>
            </w:r>
          </w:p>
        </w:tc>
        <w:tc>
          <w:tcPr>
            <w:tcW w:w="1533"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是</w:t>
            </w:r>
          </w:p>
        </w:tc>
        <w:tc>
          <w:tcPr>
            <w:tcW w:w="1365"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否</w:t>
            </w:r>
          </w:p>
        </w:tc>
      </w:tr>
      <w:tr w:rsidR="009500F4">
        <w:trPr>
          <w:trHeight w:val="580"/>
          <w:jc w:val="center"/>
        </w:trPr>
        <w:tc>
          <w:tcPr>
            <w:tcW w:w="586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是否出台标准化工作方案或规划</w:t>
            </w:r>
          </w:p>
        </w:tc>
        <w:tc>
          <w:tcPr>
            <w:tcW w:w="1533"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是</w:t>
            </w:r>
          </w:p>
        </w:tc>
        <w:tc>
          <w:tcPr>
            <w:tcW w:w="1365"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否</w:t>
            </w:r>
          </w:p>
        </w:tc>
      </w:tr>
      <w:tr w:rsidR="009500F4">
        <w:trPr>
          <w:trHeight w:val="618"/>
          <w:jc w:val="center"/>
        </w:trPr>
        <w:tc>
          <w:tcPr>
            <w:tcW w:w="586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出台机关事务领域地方标准数量（项）</w:t>
            </w:r>
          </w:p>
        </w:tc>
        <w:tc>
          <w:tcPr>
            <w:tcW w:w="2898" w:type="dxa"/>
            <w:gridSpan w:val="2"/>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58"/>
          <w:jc w:val="center"/>
        </w:trPr>
        <w:tc>
          <w:tcPr>
            <w:tcW w:w="586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pacing w:val="-11"/>
                <w:sz w:val="28"/>
                <w:szCs w:val="28"/>
              </w:rPr>
              <w:t>出台机关运行有关实物定额和服务标准数量（项）</w:t>
            </w:r>
          </w:p>
        </w:tc>
        <w:tc>
          <w:tcPr>
            <w:tcW w:w="2898" w:type="dxa"/>
            <w:gridSpan w:val="2"/>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92"/>
          <w:jc w:val="center"/>
        </w:trPr>
        <w:tc>
          <w:tcPr>
            <w:tcW w:w="586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本县区开展标准化试点的数量（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2898" w:type="dxa"/>
            <w:gridSpan w:val="2"/>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b/>
          <w:sz w:val="28"/>
          <w:szCs w:val="28"/>
        </w:rPr>
      </w:pPr>
      <w:r>
        <w:rPr>
          <w:rFonts w:ascii="楷体_GB2312" w:eastAsia="楷体_GB2312" w:hAnsi="方正小标宋_GBK" w:hint="eastAsia"/>
          <w:sz w:val="28"/>
          <w:szCs w:val="28"/>
        </w:rPr>
        <w:t>3.</w:t>
      </w:r>
      <w:r>
        <w:rPr>
          <w:rFonts w:ascii="楷体_GB2312" w:eastAsia="楷体_GB2312" w:hAnsi="方正小标宋_GBK" w:hint="eastAsia"/>
          <w:sz w:val="28"/>
          <w:szCs w:val="28"/>
        </w:rPr>
        <w:t>信息化方面。①县级机关事务管理部门开发并投入运行的信息系统数量，重点是办公用房管理、公务用车管理、公共机构节能管理、国有资产管理等业务领域信息系统数量；②业务领域信息系统的覆盖范围，是否覆盖全县区。</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4 </w:t>
      </w:r>
      <w:r>
        <w:rPr>
          <w:rFonts w:ascii="楷体_GB2312" w:eastAsia="楷体_GB2312" w:hAnsi="方正小标宋_GBK" w:hint="eastAsia"/>
          <w:b/>
          <w:sz w:val="28"/>
          <w:szCs w:val="28"/>
        </w:rPr>
        <w:t>县级机关事务管理部门信息化建设情况</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056"/>
      </w:tblGrid>
      <w:tr w:rsidR="009500F4">
        <w:trPr>
          <w:jc w:val="center"/>
        </w:trPr>
        <w:tc>
          <w:tcPr>
            <w:tcW w:w="4929"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405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jc w:val="center"/>
        </w:trPr>
        <w:tc>
          <w:tcPr>
            <w:tcW w:w="4929"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开发并投入运行的信息系统数量（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4056"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4929"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办公用房管理信息系统覆盖范围</w:t>
            </w:r>
          </w:p>
        </w:tc>
        <w:tc>
          <w:tcPr>
            <w:tcW w:w="4056"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4929"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公务用车管理信息系统覆盖范围</w:t>
            </w:r>
          </w:p>
        </w:tc>
        <w:tc>
          <w:tcPr>
            <w:tcW w:w="4056"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4929"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公共机构节能管理信息系统覆盖范围</w:t>
            </w:r>
          </w:p>
        </w:tc>
        <w:tc>
          <w:tcPr>
            <w:tcW w:w="4056"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4929"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国有资产管理信息系统覆盖范围</w:t>
            </w:r>
          </w:p>
        </w:tc>
        <w:tc>
          <w:tcPr>
            <w:tcW w:w="4056"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三、法治建设情况</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配套制度落实情况。县区是否制定《机关事务管理条例》、《公共机构节能条例》、《党政机关厉行节约反对浪费条例》配套办法（列明名称、文号）；县级是否制定《党政机关国内公务接待管理规定》、《党政机关办公用房管理办法》、《党政机关公务用车管理办法》的配套办法（列明名称、文号）。请以文字材料说明。</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w:t>
      </w:r>
      <w:r>
        <w:rPr>
          <w:rFonts w:ascii="楷体_GB2312" w:eastAsia="楷体_GB2312" w:hAnsi="方正小标宋_GBK" w:hint="eastAsia"/>
          <w:sz w:val="28"/>
          <w:szCs w:val="28"/>
        </w:rPr>
        <w:t>制度体系建设情况。县区制定机关事务管理规范性文件的总数量和分项统计，其中，“十三五”期间制定出台的规范性文件总数量和分项统</w:t>
      </w:r>
      <w:r>
        <w:rPr>
          <w:rFonts w:ascii="楷体_GB2312" w:eastAsia="楷体_GB2312" w:hAnsi="方正小标宋_GBK" w:hint="eastAsia"/>
          <w:sz w:val="28"/>
          <w:szCs w:val="28"/>
        </w:rPr>
        <w:lastRenderedPageBreak/>
        <w:t>计。</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5 </w:t>
      </w:r>
      <w:r>
        <w:rPr>
          <w:rFonts w:ascii="楷体_GB2312" w:eastAsia="楷体_GB2312" w:hAnsi="方正小标宋_GBK" w:hint="eastAsia"/>
          <w:b/>
          <w:sz w:val="28"/>
          <w:szCs w:val="28"/>
        </w:rPr>
        <w:t>机关事务管理制度体系建设情况</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5616"/>
        <w:gridCol w:w="1645"/>
      </w:tblGrid>
      <w:tr w:rsidR="009500F4">
        <w:trPr>
          <w:trHeight w:val="555"/>
          <w:jc w:val="center"/>
        </w:trPr>
        <w:tc>
          <w:tcPr>
            <w:tcW w:w="1565" w:type="dxa"/>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561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64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trHeight w:val="630"/>
          <w:jc w:val="center"/>
        </w:trPr>
        <w:tc>
          <w:tcPr>
            <w:tcW w:w="1565"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561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制定规范性文件的总数量（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164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85"/>
          <w:jc w:val="center"/>
        </w:trPr>
        <w:tc>
          <w:tcPr>
            <w:tcW w:w="1565" w:type="dxa"/>
            <w:vMerge/>
            <w:vAlign w:val="center"/>
          </w:tcPr>
          <w:p w:rsidR="009500F4" w:rsidRDefault="009500F4">
            <w:pPr>
              <w:spacing w:line="500" w:lineRule="exact"/>
              <w:jc w:val="center"/>
              <w:rPr>
                <w:rFonts w:ascii="楷体_GB2312" w:eastAsia="楷体_GB2312" w:hAnsi="方正小标宋_GBK"/>
                <w:sz w:val="28"/>
                <w:szCs w:val="28"/>
              </w:rPr>
            </w:pPr>
          </w:p>
        </w:tc>
        <w:tc>
          <w:tcPr>
            <w:tcW w:w="561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其中：“十三五”</w:t>
            </w:r>
            <w:proofErr w:type="gramStart"/>
            <w:r>
              <w:rPr>
                <w:rFonts w:ascii="楷体_GB2312" w:eastAsia="楷体_GB2312" w:hAnsi="方正小标宋_GBK" w:hint="eastAsia"/>
                <w:sz w:val="28"/>
                <w:szCs w:val="28"/>
              </w:rPr>
              <w:t>期间制</w:t>
            </w:r>
            <w:proofErr w:type="gramEnd"/>
            <w:r>
              <w:rPr>
                <w:rFonts w:ascii="楷体_GB2312" w:eastAsia="楷体_GB2312" w:hAnsi="方正小标宋_GBK" w:hint="eastAsia"/>
                <w:sz w:val="28"/>
                <w:szCs w:val="28"/>
              </w:rPr>
              <w:t>定规范性文件的总数量（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1645"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四、办公用房管理情况</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县级规范办公用房管理使用的规范性文件的数量。</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6 </w:t>
      </w:r>
      <w:r>
        <w:rPr>
          <w:rFonts w:ascii="楷体_GB2312" w:eastAsia="楷体_GB2312" w:hAnsi="方正小标宋_GBK" w:hint="eastAsia"/>
          <w:b/>
          <w:sz w:val="28"/>
          <w:szCs w:val="28"/>
        </w:rPr>
        <w:t>办公用房管理制度建设情况</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5616"/>
        <w:gridCol w:w="1735"/>
      </w:tblGrid>
      <w:tr w:rsidR="009500F4">
        <w:trPr>
          <w:jc w:val="center"/>
        </w:trPr>
        <w:tc>
          <w:tcPr>
            <w:tcW w:w="1505" w:type="dxa"/>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561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73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trHeight w:val="625"/>
          <w:jc w:val="center"/>
        </w:trPr>
        <w:tc>
          <w:tcPr>
            <w:tcW w:w="1505"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561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制定规范性文件的数量（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1735"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2.2015</w:t>
      </w:r>
      <w:r>
        <w:rPr>
          <w:rFonts w:ascii="楷体_GB2312" w:eastAsia="楷体_GB2312" w:hAnsi="方正小标宋_GBK" w:hint="eastAsia"/>
          <w:sz w:val="28"/>
          <w:szCs w:val="28"/>
        </w:rPr>
        <w:t>年</w:t>
      </w:r>
      <w:r>
        <w:rPr>
          <w:rFonts w:ascii="楷体_GB2312" w:eastAsia="楷体_GB2312" w:hAnsi="方正小标宋_GBK" w:hint="eastAsia"/>
          <w:sz w:val="28"/>
          <w:szCs w:val="28"/>
        </w:rPr>
        <w:t>-2019</w:t>
      </w:r>
      <w:r>
        <w:rPr>
          <w:rFonts w:ascii="楷体_GB2312" w:eastAsia="楷体_GB2312" w:hAnsi="方正小标宋_GBK" w:hint="eastAsia"/>
          <w:sz w:val="28"/>
          <w:szCs w:val="28"/>
        </w:rPr>
        <w:t>年度县区机关事务管理部门管理的办公用房总面积以及办公区数量。</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7 </w:t>
      </w:r>
      <w:r>
        <w:rPr>
          <w:rFonts w:ascii="楷体_GB2312" w:eastAsia="楷体_GB2312" w:hAnsi="方正小标宋_GBK" w:hint="eastAsia"/>
          <w:b/>
          <w:sz w:val="28"/>
          <w:szCs w:val="28"/>
        </w:rPr>
        <w:t>管理办公用房面积情况</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334"/>
        <w:gridCol w:w="1140"/>
        <w:gridCol w:w="1125"/>
        <w:gridCol w:w="1215"/>
        <w:gridCol w:w="1185"/>
        <w:gridCol w:w="1131"/>
      </w:tblGrid>
      <w:tr w:rsidR="009500F4">
        <w:trPr>
          <w:trHeight w:val="600"/>
          <w:jc w:val="center"/>
        </w:trPr>
        <w:tc>
          <w:tcPr>
            <w:tcW w:w="81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2334"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14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12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21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8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1131"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trHeight w:val="835"/>
          <w:jc w:val="center"/>
        </w:trPr>
        <w:tc>
          <w:tcPr>
            <w:tcW w:w="816"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2334"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管理办公用房总面积（平方米）</w:t>
            </w: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3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80"/>
          <w:jc w:val="center"/>
        </w:trPr>
        <w:tc>
          <w:tcPr>
            <w:tcW w:w="816" w:type="dxa"/>
            <w:vMerge/>
            <w:vAlign w:val="center"/>
          </w:tcPr>
          <w:p w:rsidR="009500F4" w:rsidRDefault="009500F4">
            <w:pPr>
              <w:spacing w:line="500" w:lineRule="exact"/>
              <w:jc w:val="center"/>
              <w:rPr>
                <w:rFonts w:ascii="楷体_GB2312" w:eastAsia="楷体_GB2312" w:hAnsi="方正小标宋_GBK"/>
                <w:sz w:val="28"/>
                <w:szCs w:val="28"/>
              </w:rPr>
            </w:pPr>
          </w:p>
        </w:tc>
        <w:tc>
          <w:tcPr>
            <w:tcW w:w="2334"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管理办公区数量（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31"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3.</w:t>
      </w:r>
      <w:r>
        <w:rPr>
          <w:rFonts w:ascii="楷体_GB2312" w:eastAsia="楷体_GB2312" w:hAnsi="方正小标宋_GBK" w:hint="eastAsia"/>
          <w:sz w:val="28"/>
          <w:szCs w:val="28"/>
        </w:rPr>
        <w:t>县区机关事务管理部门在办公用房清理整改工作中清理腾退的面积，大中修的面积及维修费用。</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8</w:t>
      </w:r>
      <w:r>
        <w:rPr>
          <w:rFonts w:ascii="楷体_GB2312" w:eastAsia="楷体_GB2312" w:hAnsi="方正小标宋_GBK" w:hint="eastAsia"/>
          <w:b/>
          <w:sz w:val="28"/>
          <w:szCs w:val="28"/>
        </w:rPr>
        <w:t>办公用房清理整改和维修情况</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616"/>
        <w:gridCol w:w="1170"/>
        <w:gridCol w:w="1155"/>
        <w:gridCol w:w="1095"/>
        <w:gridCol w:w="1110"/>
        <w:gridCol w:w="999"/>
      </w:tblGrid>
      <w:tr w:rsidR="009500F4">
        <w:trPr>
          <w:trHeight w:val="630"/>
          <w:jc w:val="center"/>
        </w:trPr>
        <w:tc>
          <w:tcPr>
            <w:tcW w:w="854"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261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17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15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09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1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999"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trHeight w:val="510"/>
          <w:jc w:val="center"/>
        </w:trPr>
        <w:tc>
          <w:tcPr>
            <w:tcW w:w="854"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2616" w:type="dxa"/>
            <w:vAlign w:val="center"/>
          </w:tcPr>
          <w:p w:rsidR="009500F4" w:rsidRDefault="00975E3F">
            <w:pPr>
              <w:spacing w:line="500" w:lineRule="exact"/>
              <w:rPr>
                <w:rFonts w:ascii="楷体_GB2312" w:eastAsia="楷体_GB2312" w:hAnsi="方正小标宋_GBK"/>
                <w:spacing w:val="-11"/>
                <w:sz w:val="28"/>
                <w:szCs w:val="28"/>
              </w:rPr>
            </w:pPr>
            <w:r>
              <w:rPr>
                <w:rFonts w:ascii="楷体_GB2312" w:eastAsia="楷体_GB2312" w:hAnsi="方正小标宋_GBK" w:hint="eastAsia"/>
                <w:spacing w:val="-11"/>
                <w:sz w:val="28"/>
                <w:szCs w:val="28"/>
              </w:rPr>
              <w:t>清理腾退面积</w:t>
            </w:r>
          </w:p>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pacing w:val="-11"/>
                <w:sz w:val="28"/>
                <w:szCs w:val="28"/>
              </w:rPr>
              <w:lastRenderedPageBreak/>
              <w:t>（平方米）</w:t>
            </w: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999"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455"/>
          <w:jc w:val="center"/>
        </w:trPr>
        <w:tc>
          <w:tcPr>
            <w:tcW w:w="854" w:type="dxa"/>
            <w:vMerge/>
            <w:vAlign w:val="center"/>
          </w:tcPr>
          <w:p w:rsidR="009500F4" w:rsidRDefault="009500F4">
            <w:pPr>
              <w:spacing w:line="500" w:lineRule="exact"/>
              <w:jc w:val="center"/>
              <w:rPr>
                <w:rFonts w:ascii="楷体_GB2312" w:eastAsia="楷体_GB2312" w:hAnsi="方正小标宋_GBK"/>
                <w:sz w:val="28"/>
                <w:szCs w:val="28"/>
              </w:rPr>
            </w:pPr>
          </w:p>
        </w:tc>
        <w:tc>
          <w:tcPr>
            <w:tcW w:w="261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大中修面积</w:t>
            </w:r>
          </w:p>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（平方米）</w:t>
            </w: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999"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475"/>
          <w:jc w:val="center"/>
        </w:trPr>
        <w:tc>
          <w:tcPr>
            <w:tcW w:w="854" w:type="dxa"/>
            <w:vMerge/>
            <w:vAlign w:val="center"/>
          </w:tcPr>
          <w:p w:rsidR="009500F4" w:rsidRDefault="009500F4">
            <w:pPr>
              <w:spacing w:line="500" w:lineRule="exact"/>
              <w:jc w:val="center"/>
              <w:rPr>
                <w:rFonts w:ascii="楷体_GB2312" w:eastAsia="楷体_GB2312" w:hAnsi="方正小标宋_GBK"/>
                <w:sz w:val="28"/>
                <w:szCs w:val="28"/>
              </w:rPr>
            </w:pPr>
          </w:p>
        </w:tc>
        <w:tc>
          <w:tcPr>
            <w:tcW w:w="261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大中修费用（元）</w:t>
            </w: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999"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五、公务用车管理情况（公车管理事务科、公务交通保障科）</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县区规范公务用车管理使用的规范性文件的数量。</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9</w:t>
      </w:r>
      <w:r>
        <w:rPr>
          <w:rFonts w:ascii="楷体_GB2312" w:eastAsia="楷体_GB2312" w:hAnsi="方正小标宋_GBK" w:hint="eastAsia"/>
          <w:b/>
          <w:sz w:val="28"/>
          <w:szCs w:val="28"/>
        </w:rPr>
        <w:t>公务用车管理制度体系建设情况</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5616"/>
        <w:gridCol w:w="1538"/>
      </w:tblGrid>
      <w:tr w:rsidR="009500F4">
        <w:trPr>
          <w:jc w:val="center"/>
        </w:trPr>
        <w:tc>
          <w:tcPr>
            <w:tcW w:w="1889"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561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538"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jc w:val="center"/>
        </w:trPr>
        <w:tc>
          <w:tcPr>
            <w:tcW w:w="1889"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5616"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制定规范性文件的数量（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1538"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b/>
          <w:sz w:val="28"/>
          <w:szCs w:val="28"/>
        </w:rPr>
      </w:pPr>
      <w:r>
        <w:rPr>
          <w:rFonts w:ascii="楷体_GB2312" w:eastAsia="楷体_GB2312" w:hAnsi="方正小标宋_GBK" w:hint="eastAsia"/>
          <w:sz w:val="28"/>
          <w:szCs w:val="28"/>
        </w:rPr>
        <w:t>2.2015</w:t>
      </w:r>
      <w:r>
        <w:rPr>
          <w:rFonts w:ascii="楷体_GB2312" w:eastAsia="楷体_GB2312" w:hAnsi="方正小标宋_GBK" w:hint="eastAsia"/>
          <w:sz w:val="28"/>
          <w:szCs w:val="28"/>
        </w:rPr>
        <w:t>年</w:t>
      </w:r>
      <w:r>
        <w:rPr>
          <w:rFonts w:ascii="楷体_GB2312" w:eastAsia="楷体_GB2312" w:hAnsi="方正小标宋_GBK" w:hint="eastAsia"/>
          <w:sz w:val="28"/>
          <w:szCs w:val="28"/>
        </w:rPr>
        <w:t>-2019</w:t>
      </w:r>
      <w:r>
        <w:rPr>
          <w:rFonts w:ascii="楷体_GB2312" w:eastAsia="楷体_GB2312" w:hAnsi="方正小标宋_GBK" w:hint="eastAsia"/>
          <w:sz w:val="28"/>
          <w:szCs w:val="28"/>
        </w:rPr>
        <w:t>年度县区机关事务管理部门保有的公务用车总数量，其中新增、更新、处置数量；国产自主品牌汽车、新能源汽车的数量及占比；车辆购置经费。</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10</w:t>
      </w:r>
      <w:r>
        <w:rPr>
          <w:rFonts w:ascii="楷体_GB2312" w:eastAsia="楷体_GB2312" w:hAnsi="方正小标宋_GBK" w:hint="eastAsia"/>
          <w:b/>
          <w:sz w:val="28"/>
          <w:szCs w:val="28"/>
        </w:rPr>
        <w:t>公务用车保有情况</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2142"/>
        <w:gridCol w:w="1214"/>
        <w:gridCol w:w="1245"/>
        <w:gridCol w:w="1155"/>
        <w:gridCol w:w="1185"/>
        <w:gridCol w:w="1125"/>
      </w:tblGrid>
      <w:tr w:rsidR="009500F4">
        <w:trPr>
          <w:jc w:val="center"/>
        </w:trPr>
        <w:tc>
          <w:tcPr>
            <w:tcW w:w="95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2142"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214"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24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15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8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112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jc w:val="center"/>
        </w:trPr>
        <w:tc>
          <w:tcPr>
            <w:tcW w:w="950"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保有公务用车总数量（辆）</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20"/>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11"/>
                <w:sz w:val="28"/>
                <w:szCs w:val="28"/>
              </w:rPr>
              <w:t>车辆购置经费（万元）</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45"/>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0"/>
                <w:sz w:val="28"/>
                <w:szCs w:val="28"/>
              </w:rPr>
              <w:t>其中：新增数量（辆）</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95"/>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更新数量（辆）</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35"/>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处置数量（辆）</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785"/>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0"/>
                <w:sz w:val="28"/>
                <w:szCs w:val="28"/>
              </w:rPr>
              <w:t>国产自主品牌汽车数量（辆）</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25"/>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0"/>
                <w:sz w:val="28"/>
                <w:szCs w:val="28"/>
              </w:rPr>
              <w:t>国产自主品牌汽车占比（</w:t>
            </w:r>
            <w:r>
              <w:rPr>
                <w:rFonts w:ascii="楷体_GB2312" w:eastAsia="楷体_GB2312" w:hAnsi="方正小标宋_GBK" w:hint="eastAsia"/>
                <w:spacing w:val="-20"/>
                <w:sz w:val="28"/>
                <w:szCs w:val="28"/>
              </w:rPr>
              <w:t>%</w:t>
            </w:r>
            <w:r>
              <w:rPr>
                <w:rFonts w:ascii="楷体_GB2312" w:eastAsia="楷体_GB2312" w:hAnsi="方正小标宋_GBK" w:hint="eastAsia"/>
                <w:spacing w:val="-20"/>
                <w:sz w:val="28"/>
                <w:szCs w:val="28"/>
              </w:rPr>
              <w:t>）</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50"/>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新能源汽车数（辆）</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90"/>
          <w:jc w:val="center"/>
        </w:trPr>
        <w:tc>
          <w:tcPr>
            <w:tcW w:w="950" w:type="dxa"/>
            <w:vMerge/>
            <w:vAlign w:val="center"/>
          </w:tcPr>
          <w:p w:rsidR="009500F4" w:rsidRDefault="009500F4">
            <w:pPr>
              <w:spacing w:line="500" w:lineRule="exact"/>
              <w:jc w:val="center"/>
              <w:rPr>
                <w:rFonts w:ascii="楷体_GB2312" w:eastAsia="楷体_GB2312" w:hAnsi="方正小标宋_GBK"/>
                <w:sz w:val="28"/>
                <w:szCs w:val="28"/>
              </w:rPr>
            </w:pPr>
          </w:p>
        </w:tc>
        <w:tc>
          <w:tcPr>
            <w:tcW w:w="2142"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0"/>
                <w:sz w:val="28"/>
                <w:szCs w:val="28"/>
              </w:rPr>
              <w:t>新能源汽车占比（</w:t>
            </w:r>
            <w:r>
              <w:rPr>
                <w:rFonts w:ascii="楷体_GB2312" w:eastAsia="楷体_GB2312" w:hAnsi="方正小标宋_GBK" w:hint="eastAsia"/>
                <w:spacing w:val="-20"/>
                <w:sz w:val="28"/>
                <w:szCs w:val="28"/>
              </w:rPr>
              <w:t>%</w:t>
            </w:r>
            <w:r>
              <w:rPr>
                <w:rFonts w:ascii="楷体_GB2312" w:eastAsia="楷体_GB2312" w:hAnsi="方正小标宋_GBK" w:hint="eastAsia"/>
                <w:spacing w:val="-20"/>
                <w:sz w:val="28"/>
                <w:szCs w:val="28"/>
              </w:rPr>
              <w:t>）</w:t>
            </w:r>
          </w:p>
        </w:tc>
        <w:tc>
          <w:tcPr>
            <w:tcW w:w="1214" w:type="dxa"/>
            <w:vAlign w:val="center"/>
          </w:tcPr>
          <w:p w:rsidR="009500F4" w:rsidRDefault="009500F4">
            <w:pPr>
              <w:spacing w:line="500" w:lineRule="exact"/>
              <w:jc w:val="center"/>
              <w:rPr>
                <w:rFonts w:ascii="楷体_GB2312" w:eastAsia="楷体_GB2312" w:hAnsi="方正小标宋_GBK"/>
                <w:sz w:val="28"/>
                <w:szCs w:val="28"/>
              </w:rPr>
            </w:pPr>
          </w:p>
        </w:tc>
        <w:tc>
          <w:tcPr>
            <w:tcW w:w="124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85"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3.</w:t>
      </w:r>
      <w:r>
        <w:rPr>
          <w:rFonts w:ascii="楷体_GB2312" w:eastAsia="楷体_GB2312" w:hAnsi="方正小标宋_GBK" w:hint="eastAsia"/>
          <w:sz w:val="28"/>
          <w:szCs w:val="28"/>
        </w:rPr>
        <w:t>车改中取消的公务用车数量，压减的比率，节支率。</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11 </w:t>
      </w:r>
      <w:r>
        <w:rPr>
          <w:rFonts w:ascii="楷体_GB2312" w:eastAsia="楷体_GB2312" w:hAnsi="方正小标宋_GBK" w:hint="eastAsia"/>
          <w:b/>
          <w:sz w:val="28"/>
          <w:szCs w:val="28"/>
        </w:rPr>
        <w:t>车改任务完成情况</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807"/>
        <w:gridCol w:w="2703"/>
      </w:tblGrid>
      <w:tr w:rsidR="009500F4">
        <w:trPr>
          <w:trHeight w:val="90"/>
          <w:jc w:val="center"/>
        </w:trPr>
        <w:tc>
          <w:tcPr>
            <w:tcW w:w="1474"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4807"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2703"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jc w:val="center"/>
        </w:trPr>
        <w:tc>
          <w:tcPr>
            <w:tcW w:w="1474"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480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取消的公务用车数量（辆）</w:t>
            </w:r>
          </w:p>
        </w:tc>
        <w:tc>
          <w:tcPr>
            <w:tcW w:w="2703"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474" w:type="dxa"/>
            <w:vMerge/>
            <w:vAlign w:val="center"/>
          </w:tcPr>
          <w:p w:rsidR="009500F4" w:rsidRDefault="009500F4">
            <w:pPr>
              <w:spacing w:line="500" w:lineRule="exact"/>
              <w:jc w:val="center"/>
              <w:rPr>
                <w:rFonts w:ascii="楷体_GB2312" w:eastAsia="楷体_GB2312" w:hAnsi="方正小标宋_GBK"/>
                <w:sz w:val="28"/>
                <w:szCs w:val="28"/>
              </w:rPr>
            </w:pPr>
          </w:p>
        </w:tc>
        <w:tc>
          <w:tcPr>
            <w:tcW w:w="480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公务用车压减比率（</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2703"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474" w:type="dxa"/>
            <w:vMerge/>
            <w:vAlign w:val="center"/>
          </w:tcPr>
          <w:p w:rsidR="009500F4" w:rsidRDefault="009500F4">
            <w:pPr>
              <w:spacing w:line="500" w:lineRule="exact"/>
              <w:jc w:val="center"/>
              <w:rPr>
                <w:rFonts w:ascii="楷体_GB2312" w:eastAsia="楷体_GB2312" w:hAnsi="方正小标宋_GBK"/>
                <w:sz w:val="28"/>
                <w:szCs w:val="28"/>
              </w:rPr>
            </w:pPr>
          </w:p>
        </w:tc>
        <w:tc>
          <w:tcPr>
            <w:tcW w:w="4807"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公务用车节支率（</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2703"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六、国有资产管理情况</w:t>
      </w:r>
    </w:p>
    <w:p w:rsidR="009500F4" w:rsidRDefault="00975E3F">
      <w:pPr>
        <w:spacing w:line="500" w:lineRule="exact"/>
        <w:ind w:firstLineChars="200" w:firstLine="560"/>
        <w:rPr>
          <w:rFonts w:ascii="楷体_GB2312" w:eastAsia="楷体_GB2312" w:hAnsi="方正小标宋_GBK"/>
          <w:b/>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县区规范国有资产管理的地方性法规、规章以及规范性文件的数量。</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12</w:t>
      </w:r>
      <w:r>
        <w:rPr>
          <w:rFonts w:ascii="楷体_GB2312" w:eastAsia="楷体_GB2312" w:hAnsi="方正小标宋_GBK" w:hint="eastAsia"/>
          <w:b/>
          <w:sz w:val="28"/>
          <w:szCs w:val="28"/>
        </w:rPr>
        <w:t>国有资产管理制度体系建设情况</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616"/>
        <w:gridCol w:w="1538"/>
      </w:tblGrid>
      <w:tr w:rsidR="009500F4">
        <w:trPr>
          <w:jc w:val="center"/>
        </w:trPr>
        <w:tc>
          <w:tcPr>
            <w:tcW w:w="1792"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层级</w:t>
            </w:r>
          </w:p>
        </w:tc>
        <w:tc>
          <w:tcPr>
            <w:tcW w:w="561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538"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情况</w:t>
            </w:r>
          </w:p>
        </w:tc>
      </w:tr>
      <w:tr w:rsidR="009500F4">
        <w:trPr>
          <w:trHeight w:val="635"/>
          <w:jc w:val="center"/>
        </w:trPr>
        <w:tc>
          <w:tcPr>
            <w:tcW w:w="1792"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县级</w:t>
            </w:r>
          </w:p>
        </w:tc>
        <w:tc>
          <w:tcPr>
            <w:tcW w:w="5616" w:type="dxa"/>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制定规范性文件的数量（</w:t>
            </w:r>
            <w:proofErr w:type="gramStart"/>
            <w:r>
              <w:rPr>
                <w:rFonts w:ascii="楷体_GB2312" w:eastAsia="楷体_GB2312" w:hAnsi="方正小标宋_GBK" w:hint="eastAsia"/>
                <w:sz w:val="28"/>
                <w:szCs w:val="28"/>
              </w:rPr>
              <w:t>个</w:t>
            </w:r>
            <w:proofErr w:type="gramEnd"/>
            <w:r>
              <w:rPr>
                <w:rFonts w:ascii="楷体_GB2312" w:eastAsia="楷体_GB2312" w:hAnsi="方正小标宋_GBK" w:hint="eastAsia"/>
                <w:sz w:val="28"/>
                <w:szCs w:val="28"/>
              </w:rPr>
              <w:t>）</w:t>
            </w:r>
          </w:p>
        </w:tc>
        <w:tc>
          <w:tcPr>
            <w:tcW w:w="1538"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w:t>
      </w:r>
      <w:r>
        <w:rPr>
          <w:rFonts w:ascii="楷体_GB2312" w:eastAsia="楷体_GB2312" w:hAnsi="方正小标宋_GBK" w:hint="eastAsia"/>
          <w:sz w:val="28"/>
          <w:szCs w:val="28"/>
        </w:rPr>
        <w:t>纳入县区机关事务管理部门管理范围的行政事业单位国有资产的数额（含负债、净资产）以及年度增长率，其中，固定资产、流动资产及其他资产（在建工程、对外投资、无形资产等）的数额及</w:t>
      </w:r>
      <w:proofErr w:type="gramStart"/>
      <w:r>
        <w:rPr>
          <w:rFonts w:ascii="楷体_GB2312" w:eastAsia="楷体_GB2312" w:hAnsi="方正小标宋_GBK" w:hint="eastAsia"/>
          <w:sz w:val="28"/>
          <w:szCs w:val="28"/>
        </w:rPr>
        <w:t>相应占</w:t>
      </w:r>
      <w:proofErr w:type="gramEnd"/>
      <w:r>
        <w:rPr>
          <w:rFonts w:ascii="楷体_GB2312" w:eastAsia="楷体_GB2312" w:hAnsi="方正小标宋_GBK" w:hint="eastAsia"/>
          <w:sz w:val="28"/>
          <w:szCs w:val="28"/>
        </w:rPr>
        <w:t>比。</w:t>
      </w:r>
    </w:p>
    <w:p w:rsidR="009500F4" w:rsidRDefault="00975E3F">
      <w:pPr>
        <w:spacing w:line="500" w:lineRule="exact"/>
        <w:ind w:firstLineChars="200" w:firstLine="560"/>
        <w:rPr>
          <w:rFonts w:ascii="楷体_GB2312" w:eastAsia="楷体_GB2312" w:hAnsi="方正小标宋_GBK"/>
          <w:b/>
          <w:sz w:val="28"/>
          <w:szCs w:val="28"/>
        </w:rPr>
      </w:pPr>
      <w:r>
        <w:rPr>
          <w:rFonts w:ascii="楷体_GB2312" w:eastAsia="楷体_GB2312" w:hAnsi="方正小标宋_GBK" w:hint="eastAsia"/>
          <w:sz w:val="28"/>
          <w:szCs w:val="28"/>
        </w:rPr>
        <w:t>县区行政事业单位国有资产情况，如机构和人员设置情况，管理单位范围及管理资产类别请以文字材料说明。</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13 </w:t>
      </w:r>
      <w:r>
        <w:rPr>
          <w:rFonts w:ascii="楷体_GB2312" w:eastAsia="楷体_GB2312" w:hAnsi="方正小标宋_GBK" w:hint="eastAsia"/>
          <w:b/>
          <w:sz w:val="28"/>
          <w:szCs w:val="28"/>
        </w:rPr>
        <w:t>县区行政事业单位国有资产管理情况</w:t>
      </w:r>
    </w:p>
    <w:tbl>
      <w:tblPr>
        <w:tblpPr w:leftFromText="180" w:rightFromText="180" w:vertAnchor="text" w:horzAnchor="page" w:tblpXSpec="center" w:tblpY="147"/>
        <w:tblOverlap w:val="neve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1148"/>
        <w:gridCol w:w="1215"/>
        <w:gridCol w:w="1095"/>
        <w:gridCol w:w="1110"/>
        <w:gridCol w:w="1095"/>
      </w:tblGrid>
      <w:tr w:rsidR="009500F4">
        <w:trPr>
          <w:trHeight w:val="90"/>
          <w:jc w:val="center"/>
        </w:trPr>
        <w:tc>
          <w:tcPr>
            <w:tcW w:w="3152"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148" w:type="dxa"/>
            <w:vAlign w:val="center"/>
          </w:tcPr>
          <w:p w:rsidR="009500F4" w:rsidRDefault="00975E3F">
            <w:pPr>
              <w:spacing w:line="500" w:lineRule="exact"/>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21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09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1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109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trHeight w:val="710"/>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管理的国有资产总额（万元）</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840"/>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lastRenderedPageBreak/>
              <w:t>管理的国有资产总额年度增长率（</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425"/>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资产调剂利用率（</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其中：固定资产金额</w:t>
            </w:r>
          </w:p>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（万元）</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30"/>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流动资产金额（万元）</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90"/>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其他资产金额（万元）</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40"/>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其中：固定资产占比（</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45"/>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流动资产占比（</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40"/>
          <w:jc w:val="center"/>
        </w:trPr>
        <w:tc>
          <w:tcPr>
            <w:tcW w:w="3152"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其他资产占比（</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1148" w:type="dxa"/>
            <w:vAlign w:val="center"/>
          </w:tcPr>
          <w:p w:rsidR="009500F4" w:rsidRDefault="009500F4">
            <w:pPr>
              <w:spacing w:line="500" w:lineRule="exact"/>
              <w:jc w:val="center"/>
              <w:rPr>
                <w:rFonts w:ascii="楷体_GB2312" w:eastAsia="楷体_GB2312" w:hAnsi="方正小标宋_GBK"/>
                <w:sz w:val="28"/>
                <w:szCs w:val="28"/>
              </w:rPr>
            </w:pPr>
          </w:p>
        </w:tc>
        <w:tc>
          <w:tcPr>
            <w:tcW w:w="1215"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（注：资产调剂利用率</w:t>
      </w:r>
      <w:r>
        <w:rPr>
          <w:rFonts w:ascii="楷体_GB2312" w:eastAsia="楷体_GB2312" w:hAnsi="方正小标宋_GBK" w:hint="eastAsia"/>
          <w:sz w:val="28"/>
          <w:szCs w:val="28"/>
        </w:rPr>
        <w:t>=</w:t>
      </w:r>
      <w:r>
        <w:rPr>
          <w:rFonts w:ascii="楷体_GB2312" w:eastAsia="楷体_GB2312" w:hAnsi="方正小标宋_GBK" w:hint="eastAsia"/>
          <w:sz w:val="28"/>
          <w:szCs w:val="28"/>
        </w:rPr>
        <w:t>资产调剂的数量</w:t>
      </w:r>
      <w:r>
        <w:rPr>
          <w:rFonts w:ascii="楷体_GB2312" w:eastAsia="楷体_GB2312" w:hAnsi="方正小标宋_GBK" w:hint="eastAsia"/>
          <w:sz w:val="28"/>
          <w:szCs w:val="28"/>
        </w:rPr>
        <w:t>/</w:t>
      </w:r>
      <w:r>
        <w:rPr>
          <w:rFonts w:ascii="楷体_GB2312" w:eastAsia="楷体_GB2312" w:hAnsi="方正小标宋_GBK" w:hint="eastAsia"/>
          <w:sz w:val="28"/>
          <w:szCs w:val="28"/>
        </w:rPr>
        <w:t>资产配置总量）</w:t>
      </w:r>
    </w:p>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七、后勤服务社会化情况</w:t>
      </w:r>
    </w:p>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 xml:space="preserve">    </w:t>
      </w:r>
      <w:r>
        <w:rPr>
          <w:rFonts w:ascii="楷体_GB2312" w:eastAsia="楷体_GB2312" w:hAnsi="方正小标宋_GBK" w:hint="eastAsia"/>
          <w:sz w:val="28"/>
          <w:szCs w:val="28"/>
        </w:rPr>
        <w:t>1.</w:t>
      </w:r>
      <w:r>
        <w:rPr>
          <w:rFonts w:ascii="楷体_GB2312" w:eastAsia="楷体_GB2312" w:hAnsi="方正小标宋_GBK" w:hint="eastAsia"/>
          <w:sz w:val="28"/>
          <w:szCs w:val="28"/>
        </w:rPr>
        <w:t>经费支出。</w:t>
      </w:r>
      <w:r>
        <w:rPr>
          <w:rFonts w:ascii="楷体_GB2312" w:eastAsia="楷体_GB2312" w:hAnsi="方正小标宋_GBK" w:hint="eastAsia"/>
          <w:sz w:val="28"/>
          <w:szCs w:val="28"/>
        </w:rPr>
        <w:t>2015</w:t>
      </w:r>
      <w:r>
        <w:rPr>
          <w:rFonts w:ascii="楷体_GB2312" w:eastAsia="楷体_GB2312" w:hAnsi="方正小标宋_GBK" w:hint="eastAsia"/>
          <w:sz w:val="28"/>
          <w:szCs w:val="28"/>
        </w:rPr>
        <w:t>年</w:t>
      </w:r>
      <w:r>
        <w:rPr>
          <w:rFonts w:ascii="楷体_GB2312" w:eastAsia="楷体_GB2312" w:hAnsi="方正小标宋_GBK" w:hint="eastAsia"/>
          <w:sz w:val="28"/>
          <w:szCs w:val="28"/>
        </w:rPr>
        <w:t>-2019</w:t>
      </w:r>
      <w:r>
        <w:rPr>
          <w:rFonts w:ascii="楷体_GB2312" w:eastAsia="楷体_GB2312" w:hAnsi="方正小标宋_GBK" w:hint="eastAsia"/>
          <w:sz w:val="28"/>
          <w:szCs w:val="28"/>
        </w:rPr>
        <w:t>年度县级后勤服务项目经费总支出，财政保障金额。</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w:t>
      </w:r>
      <w:r>
        <w:rPr>
          <w:rFonts w:ascii="楷体_GB2312" w:eastAsia="楷体_GB2312" w:hAnsi="方正小标宋_GBK" w:hint="eastAsia"/>
          <w:sz w:val="28"/>
          <w:szCs w:val="28"/>
        </w:rPr>
        <w:t>服务项目。县级后勤服务项目的金额、外包率，外包金额、自我承担的金额。</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后勤服务项目主要包括以下六类：办公设备维修保养、物业服务（含房屋养护维护、公用设施设备维护、保洁、绿化等服务项目）、安全保卫服务、印刷服务、餐饮服务、其他服务（主要是保留公务车辆维护保养服务</w:t>
      </w:r>
      <w:r>
        <w:rPr>
          <w:rFonts w:ascii="楷体_GB2312" w:eastAsia="楷体_GB2312" w:hAnsi="方正小标宋_GBK" w:hint="eastAsia"/>
          <w:sz w:val="28"/>
          <w:szCs w:val="28"/>
        </w:rPr>
        <w:t>/</w:t>
      </w:r>
      <w:r>
        <w:rPr>
          <w:rFonts w:ascii="楷体_GB2312" w:eastAsia="楷体_GB2312" w:hAnsi="方正小标宋_GBK" w:hint="eastAsia"/>
          <w:sz w:val="28"/>
          <w:szCs w:val="28"/>
        </w:rPr>
        <w:t>车辆保险、会议服务）。</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14 </w:t>
      </w:r>
      <w:r>
        <w:rPr>
          <w:rFonts w:ascii="楷体_GB2312" w:eastAsia="楷体_GB2312" w:hAnsi="方正小标宋_GBK" w:hint="eastAsia"/>
          <w:b/>
          <w:sz w:val="28"/>
          <w:szCs w:val="28"/>
        </w:rPr>
        <w:t>县级后勤服务项目管理情况</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218"/>
        <w:gridCol w:w="1095"/>
        <w:gridCol w:w="1170"/>
        <w:gridCol w:w="1125"/>
        <w:gridCol w:w="1155"/>
      </w:tblGrid>
      <w:tr w:rsidR="009500F4">
        <w:trPr>
          <w:trHeight w:val="730"/>
          <w:jc w:val="center"/>
        </w:trPr>
        <w:tc>
          <w:tcPr>
            <w:tcW w:w="3006"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218"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09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17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2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115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trHeight w:val="965"/>
          <w:jc w:val="center"/>
        </w:trPr>
        <w:tc>
          <w:tcPr>
            <w:tcW w:w="300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后勤服务项目经费总支出（万元）</w:t>
            </w:r>
          </w:p>
        </w:tc>
        <w:tc>
          <w:tcPr>
            <w:tcW w:w="1218"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705"/>
          <w:jc w:val="center"/>
        </w:trPr>
        <w:tc>
          <w:tcPr>
            <w:tcW w:w="300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lastRenderedPageBreak/>
              <w:t>其中：外包金额（万元）</w:t>
            </w:r>
          </w:p>
        </w:tc>
        <w:tc>
          <w:tcPr>
            <w:tcW w:w="1218"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745"/>
          <w:jc w:val="center"/>
        </w:trPr>
        <w:tc>
          <w:tcPr>
            <w:tcW w:w="300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自我承担金额（万元）</w:t>
            </w:r>
          </w:p>
        </w:tc>
        <w:tc>
          <w:tcPr>
            <w:tcW w:w="1218"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965"/>
          <w:jc w:val="center"/>
        </w:trPr>
        <w:tc>
          <w:tcPr>
            <w:tcW w:w="300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pacing w:val="17"/>
                <w:sz w:val="28"/>
                <w:szCs w:val="28"/>
              </w:rPr>
              <w:t>后勤服务项目外包率（</w:t>
            </w:r>
            <w:r>
              <w:rPr>
                <w:rFonts w:ascii="楷体_GB2312" w:eastAsia="楷体_GB2312" w:hAnsi="方正小标宋_GBK" w:hint="eastAsia"/>
                <w:spacing w:val="17"/>
                <w:sz w:val="28"/>
                <w:szCs w:val="28"/>
              </w:rPr>
              <w:t>%</w:t>
            </w:r>
            <w:r>
              <w:rPr>
                <w:rFonts w:ascii="楷体_GB2312" w:eastAsia="楷体_GB2312" w:hAnsi="方正小标宋_GBK" w:hint="eastAsia"/>
                <w:spacing w:val="17"/>
                <w:sz w:val="28"/>
                <w:szCs w:val="28"/>
              </w:rPr>
              <w:t>）</w:t>
            </w:r>
          </w:p>
        </w:tc>
        <w:tc>
          <w:tcPr>
            <w:tcW w:w="1218"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1080"/>
          <w:jc w:val="center"/>
        </w:trPr>
        <w:tc>
          <w:tcPr>
            <w:tcW w:w="3006"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后勤服务项目经费财政保障金额（万元）</w:t>
            </w:r>
          </w:p>
        </w:tc>
        <w:tc>
          <w:tcPr>
            <w:tcW w:w="1218"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2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（注：后勤服务项目外包率</w:t>
      </w:r>
      <w:r>
        <w:rPr>
          <w:rFonts w:ascii="楷体_GB2312" w:eastAsia="楷体_GB2312" w:hAnsi="方正小标宋_GBK" w:hint="eastAsia"/>
          <w:sz w:val="28"/>
          <w:szCs w:val="28"/>
        </w:rPr>
        <w:t>=</w:t>
      </w:r>
      <w:r>
        <w:rPr>
          <w:rFonts w:ascii="楷体_GB2312" w:eastAsia="楷体_GB2312" w:hAnsi="方正小标宋_GBK" w:hint="eastAsia"/>
          <w:sz w:val="28"/>
          <w:szCs w:val="28"/>
        </w:rPr>
        <w:t>外包金额</w:t>
      </w:r>
      <w:r>
        <w:rPr>
          <w:rFonts w:ascii="楷体_GB2312" w:eastAsia="楷体_GB2312" w:hAnsi="方正小标宋_GBK" w:hint="eastAsia"/>
          <w:sz w:val="28"/>
          <w:szCs w:val="28"/>
        </w:rPr>
        <w:t>/</w:t>
      </w:r>
      <w:r>
        <w:rPr>
          <w:rFonts w:ascii="楷体_GB2312" w:eastAsia="楷体_GB2312" w:hAnsi="方正小标宋_GBK" w:hint="eastAsia"/>
          <w:sz w:val="28"/>
          <w:szCs w:val="28"/>
        </w:rPr>
        <w:t>后勤服务项目经费总支出）</w:t>
      </w:r>
    </w:p>
    <w:p w:rsidR="009500F4" w:rsidRDefault="00975E3F">
      <w:pPr>
        <w:spacing w:line="50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八、内部建设情况</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w:t>
      </w:r>
      <w:r>
        <w:rPr>
          <w:rFonts w:ascii="楷体_GB2312" w:eastAsia="楷体_GB2312" w:hAnsi="方正小标宋_GBK" w:hint="eastAsia"/>
          <w:sz w:val="28"/>
          <w:szCs w:val="28"/>
        </w:rPr>
        <w:t>理论研究。</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15 </w:t>
      </w:r>
      <w:r>
        <w:rPr>
          <w:rFonts w:ascii="楷体_GB2312" w:eastAsia="楷体_GB2312" w:hAnsi="方正小标宋_GBK" w:hint="eastAsia"/>
          <w:b/>
          <w:sz w:val="28"/>
          <w:szCs w:val="28"/>
        </w:rPr>
        <w:t>县级机关事务管理部门理论研究情况</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10"/>
        <w:gridCol w:w="1095"/>
        <w:gridCol w:w="1155"/>
        <w:gridCol w:w="1110"/>
        <w:gridCol w:w="1177"/>
      </w:tblGrid>
      <w:tr w:rsidR="009500F4">
        <w:trPr>
          <w:jc w:val="center"/>
        </w:trPr>
        <w:tc>
          <w:tcPr>
            <w:tcW w:w="3114"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11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09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15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1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1177"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jc w:val="center"/>
        </w:trPr>
        <w:tc>
          <w:tcPr>
            <w:tcW w:w="3114" w:type="dxa"/>
            <w:vAlign w:val="center"/>
          </w:tcPr>
          <w:p w:rsidR="009500F4" w:rsidRDefault="00975E3F">
            <w:pPr>
              <w:spacing w:line="500" w:lineRule="exact"/>
              <w:rPr>
                <w:rFonts w:ascii="楷体_GB2312" w:eastAsia="楷体_GB2312" w:hAnsi="方正小标宋_GBK"/>
                <w:sz w:val="28"/>
                <w:szCs w:val="28"/>
              </w:rPr>
            </w:pPr>
            <w:r>
              <w:rPr>
                <w:rFonts w:ascii="楷体_GB2312" w:eastAsia="楷体_GB2312" w:hAnsi="方正小标宋_GBK" w:hint="eastAsia"/>
                <w:sz w:val="28"/>
                <w:szCs w:val="28"/>
              </w:rPr>
              <w:t>在市级以上刊物公开发表文章的数量（篇）</w:t>
            </w: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55" w:type="dxa"/>
            <w:vAlign w:val="center"/>
          </w:tcPr>
          <w:p w:rsidR="009500F4" w:rsidRDefault="009500F4">
            <w:pPr>
              <w:spacing w:line="500" w:lineRule="exact"/>
              <w:jc w:val="center"/>
              <w:rPr>
                <w:rFonts w:ascii="楷体_GB2312" w:eastAsia="楷体_GB2312" w:hAnsi="方正小标宋_GBK"/>
                <w:sz w:val="28"/>
                <w:szCs w:val="28"/>
              </w:rPr>
            </w:pPr>
          </w:p>
        </w:tc>
        <w:tc>
          <w:tcPr>
            <w:tcW w:w="1110" w:type="dxa"/>
            <w:vAlign w:val="center"/>
          </w:tcPr>
          <w:p w:rsidR="009500F4" w:rsidRDefault="009500F4">
            <w:pPr>
              <w:spacing w:line="500" w:lineRule="exact"/>
              <w:jc w:val="center"/>
              <w:rPr>
                <w:rFonts w:ascii="楷体_GB2312" w:eastAsia="楷体_GB2312" w:hAnsi="方正小标宋_GBK"/>
                <w:sz w:val="28"/>
                <w:szCs w:val="28"/>
              </w:rPr>
            </w:pPr>
          </w:p>
        </w:tc>
        <w:tc>
          <w:tcPr>
            <w:tcW w:w="1177"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w:t>
      </w:r>
      <w:r>
        <w:rPr>
          <w:rFonts w:ascii="楷体_GB2312" w:eastAsia="楷体_GB2312" w:hAnsi="方正小标宋_GBK" w:hint="eastAsia"/>
          <w:sz w:val="28"/>
          <w:szCs w:val="28"/>
        </w:rPr>
        <w:t>人才队伍建设。①</w:t>
      </w:r>
      <w:r>
        <w:rPr>
          <w:rFonts w:ascii="楷体_GB2312" w:eastAsia="楷体_GB2312" w:hAnsi="方正小标宋_GBK" w:hint="eastAsia"/>
          <w:sz w:val="28"/>
          <w:szCs w:val="28"/>
        </w:rPr>
        <w:t>2015</w:t>
      </w:r>
      <w:r>
        <w:rPr>
          <w:rFonts w:ascii="楷体_GB2312" w:eastAsia="楷体_GB2312" w:hAnsi="方正小标宋_GBK" w:hint="eastAsia"/>
          <w:sz w:val="28"/>
          <w:szCs w:val="28"/>
        </w:rPr>
        <w:t>年</w:t>
      </w:r>
      <w:r>
        <w:rPr>
          <w:rFonts w:ascii="楷体_GB2312" w:eastAsia="楷体_GB2312" w:hAnsi="方正小标宋_GBK" w:hint="eastAsia"/>
          <w:sz w:val="28"/>
          <w:szCs w:val="28"/>
        </w:rPr>
        <w:t>-2019</w:t>
      </w:r>
      <w:r>
        <w:rPr>
          <w:rFonts w:ascii="楷体_GB2312" w:eastAsia="楷体_GB2312" w:hAnsi="方正小标宋_GBK" w:hint="eastAsia"/>
          <w:sz w:val="28"/>
          <w:szCs w:val="28"/>
        </w:rPr>
        <w:t>年度县级机关事务管理部门人员年龄结构、学历结构（本科以下、本科、硕士研究生、博士研究生）的人数及占比；②</w:t>
      </w:r>
      <w:r>
        <w:rPr>
          <w:rFonts w:ascii="楷体_GB2312" w:eastAsia="楷体_GB2312" w:hAnsi="方正小标宋_GBK" w:hint="eastAsia"/>
          <w:sz w:val="28"/>
          <w:szCs w:val="28"/>
        </w:rPr>
        <w:t>2015</w:t>
      </w:r>
      <w:r>
        <w:rPr>
          <w:rFonts w:ascii="楷体_GB2312" w:eastAsia="楷体_GB2312" w:hAnsi="方正小标宋_GBK" w:hint="eastAsia"/>
          <w:sz w:val="28"/>
          <w:szCs w:val="28"/>
        </w:rPr>
        <w:t>年至</w:t>
      </w:r>
      <w:r>
        <w:rPr>
          <w:rFonts w:ascii="楷体_GB2312" w:eastAsia="楷体_GB2312" w:hAnsi="方正小标宋_GBK" w:hint="eastAsia"/>
          <w:sz w:val="28"/>
          <w:szCs w:val="28"/>
        </w:rPr>
        <w:t>2019</w:t>
      </w:r>
      <w:r>
        <w:rPr>
          <w:rFonts w:ascii="楷体_GB2312" w:eastAsia="楷体_GB2312" w:hAnsi="方正小标宋_GBK" w:hint="eastAsia"/>
          <w:sz w:val="28"/>
          <w:szCs w:val="28"/>
        </w:rPr>
        <w:t>年度开展培训的次数、培训人数、覆盖范围。</w:t>
      </w:r>
    </w:p>
    <w:p w:rsidR="009500F4" w:rsidRDefault="00975E3F">
      <w:pPr>
        <w:spacing w:line="500" w:lineRule="exact"/>
        <w:jc w:val="center"/>
        <w:rPr>
          <w:rFonts w:ascii="楷体_GB2312" w:eastAsia="楷体_GB2312" w:hAnsi="方正小标宋_GBK"/>
          <w:b/>
          <w:sz w:val="28"/>
          <w:szCs w:val="28"/>
        </w:rPr>
      </w:pPr>
      <w:r>
        <w:rPr>
          <w:rFonts w:ascii="楷体_GB2312" w:eastAsia="楷体_GB2312" w:hAnsi="方正小标宋_GBK" w:hint="eastAsia"/>
          <w:b/>
          <w:sz w:val="28"/>
          <w:szCs w:val="28"/>
        </w:rPr>
        <w:t>表</w:t>
      </w:r>
      <w:r>
        <w:rPr>
          <w:rFonts w:ascii="楷体_GB2312" w:eastAsia="楷体_GB2312" w:hAnsi="方正小标宋_GBK" w:hint="eastAsia"/>
          <w:b/>
          <w:sz w:val="28"/>
          <w:szCs w:val="28"/>
        </w:rPr>
        <w:t xml:space="preserve">16 </w:t>
      </w:r>
      <w:r>
        <w:rPr>
          <w:rFonts w:ascii="楷体_GB2312" w:eastAsia="楷体_GB2312" w:hAnsi="方正小标宋_GBK" w:hint="eastAsia"/>
          <w:b/>
          <w:sz w:val="28"/>
          <w:szCs w:val="28"/>
        </w:rPr>
        <w:t>县级机关事务管理部门人才队伍建设情况</w:t>
      </w:r>
    </w:p>
    <w:tbl>
      <w:tblPr>
        <w:tblpPr w:leftFromText="180" w:rightFromText="180" w:vertAnchor="text" w:horzAnchor="page" w:tblpXSpec="center" w:tblpY="76"/>
        <w:tblOverlap w:val="neve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875"/>
        <w:gridCol w:w="1095"/>
        <w:gridCol w:w="1140"/>
        <w:gridCol w:w="1170"/>
        <w:gridCol w:w="1170"/>
        <w:gridCol w:w="1321"/>
      </w:tblGrid>
      <w:tr w:rsidR="009500F4">
        <w:trPr>
          <w:jc w:val="center"/>
        </w:trPr>
        <w:tc>
          <w:tcPr>
            <w:tcW w:w="2895" w:type="dxa"/>
            <w:gridSpan w:val="2"/>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指标</w:t>
            </w:r>
          </w:p>
        </w:tc>
        <w:tc>
          <w:tcPr>
            <w:tcW w:w="1095"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2015</w:t>
            </w:r>
            <w:r>
              <w:rPr>
                <w:rFonts w:ascii="黑体" w:eastAsia="黑体" w:hAnsi="黑体" w:hint="eastAsia"/>
                <w:sz w:val="28"/>
                <w:szCs w:val="28"/>
              </w:rPr>
              <w:t>年</w:t>
            </w:r>
          </w:p>
        </w:tc>
        <w:tc>
          <w:tcPr>
            <w:tcW w:w="114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w:t>
            </w:r>
          </w:p>
        </w:tc>
        <w:tc>
          <w:tcPr>
            <w:tcW w:w="117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p>
        </w:tc>
        <w:tc>
          <w:tcPr>
            <w:tcW w:w="1170"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2018</w:t>
            </w:r>
            <w:r>
              <w:rPr>
                <w:rFonts w:ascii="黑体" w:eastAsia="黑体" w:hAnsi="黑体" w:hint="eastAsia"/>
                <w:sz w:val="28"/>
                <w:szCs w:val="28"/>
              </w:rPr>
              <w:t>年</w:t>
            </w:r>
          </w:p>
        </w:tc>
        <w:tc>
          <w:tcPr>
            <w:tcW w:w="1321" w:type="dxa"/>
            <w:vAlign w:val="center"/>
          </w:tcPr>
          <w:p w:rsidR="009500F4" w:rsidRDefault="00975E3F">
            <w:pPr>
              <w:spacing w:line="500" w:lineRule="exact"/>
              <w:jc w:val="center"/>
              <w:rPr>
                <w:rFonts w:ascii="黑体" w:eastAsia="黑体" w:hAnsi="黑体"/>
                <w:sz w:val="28"/>
                <w:szCs w:val="28"/>
              </w:rPr>
            </w:pPr>
            <w:r>
              <w:rPr>
                <w:rFonts w:ascii="黑体" w:eastAsia="黑体" w:hAnsi="黑体" w:hint="eastAsia"/>
                <w:sz w:val="28"/>
                <w:szCs w:val="28"/>
              </w:rPr>
              <w:t>2019</w:t>
            </w:r>
            <w:r>
              <w:rPr>
                <w:rFonts w:ascii="黑体" w:eastAsia="黑体" w:hAnsi="黑体" w:hint="eastAsia"/>
                <w:sz w:val="28"/>
                <w:szCs w:val="28"/>
              </w:rPr>
              <w:t>年</w:t>
            </w:r>
          </w:p>
        </w:tc>
      </w:tr>
      <w:tr w:rsidR="009500F4">
        <w:trPr>
          <w:trHeight w:val="435"/>
          <w:jc w:val="center"/>
        </w:trPr>
        <w:tc>
          <w:tcPr>
            <w:tcW w:w="2895" w:type="dxa"/>
            <w:gridSpan w:val="2"/>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人员总量</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55"/>
          <w:jc w:val="center"/>
        </w:trPr>
        <w:tc>
          <w:tcPr>
            <w:tcW w:w="1020"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年龄结构</w:t>
            </w:r>
          </w:p>
        </w:tc>
        <w:tc>
          <w:tcPr>
            <w:tcW w:w="1875"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0"/>
                <w:sz w:val="28"/>
                <w:szCs w:val="28"/>
              </w:rPr>
              <w:t>18</w:t>
            </w:r>
            <w:r>
              <w:rPr>
                <w:rFonts w:ascii="楷体_GB2312" w:eastAsia="楷体_GB2312" w:hAnsi="方正小标宋_GBK" w:hint="eastAsia"/>
                <w:spacing w:val="-20"/>
                <w:sz w:val="28"/>
                <w:szCs w:val="28"/>
              </w:rPr>
              <w:t>－</w:t>
            </w:r>
            <w:r>
              <w:rPr>
                <w:rFonts w:ascii="楷体_GB2312" w:eastAsia="楷体_GB2312" w:hAnsi="方正小标宋_GBK" w:hint="eastAsia"/>
                <w:spacing w:val="-20"/>
                <w:sz w:val="28"/>
                <w:szCs w:val="28"/>
              </w:rPr>
              <w:t>29</w:t>
            </w:r>
            <w:r>
              <w:rPr>
                <w:rFonts w:ascii="楷体_GB2312" w:eastAsia="楷体_GB2312" w:hAnsi="方正小标宋_GBK" w:hint="eastAsia"/>
                <w:spacing w:val="-20"/>
                <w:sz w:val="28"/>
                <w:szCs w:val="28"/>
              </w:rPr>
              <w:t>岁（人）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60"/>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pacing w:val="-20"/>
                <w:sz w:val="28"/>
                <w:szCs w:val="28"/>
              </w:rPr>
            </w:pPr>
            <w:r>
              <w:rPr>
                <w:rFonts w:ascii="楷体_GB2312" w:eastAsia="楷体_GB2312" w:hAnsi="方正小标宋_GBK" w:hint="eastAsia"/>
                <w:spacing w:val="-20"/>
                <w:sz w:val="28"/>
                <w:szCs w:val="28"/>
              </w:rPr>
              <w:t>30</w:t>
            </w:r>
            <w:r>
              <w:rPr>
                <w:rFonts w:ascii="楷体_GB2312" w:eastAsia="楷体_GB2312" w:hAnsi="方正小标宋_GBK" w:hint="eastAsia"/>
                <w:spacing w:val="-20"/>
                <w:sz w:val="28"/>
                <w:szCs w:val="28"/>
              </w:rPr>
              <w:t>－</w:t>
            </w:r>
            <w:r>
              <w:rPr>
                <w:rFonts w:ascii="楷体_GB2312" w:eastAsia="楷体_GB2312" w:hAnsi="方正小标宋_GBK" w:hint="eastAsia"/>
                <w:spacing w:val="-20"/>
                <w:sz w:val="28"/>
                <w:szCs w:val="28"/>
              </w:rPr>
              <w:t>39</w:t>
            </w:r>
            <w:r>
              <w:rPr>
                <w:rFonts w:ascii="楷体_GB2312" w:eastAsia="楷体_GB2312" w:hAnsi="方正小标宋_GBK" w:hint="eastAsia"/>
                <w:spacing w:val="-20"/>
                <w:sz w:val="28"/>
                <w:szCs w:val="28"/>
              </w:rPr>
              <w:t>岁（人）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pacing w:val="-20"/>
                <w:sz w:val="28"/>
                <w:szCs w:val="28"/>
              </w:rPr>
            </w:pPr>
            <w:r>
              <w:rPr>
                <w:rFonts w:ascii="楷体_GB2312" w:eastAsia="楷体_GB2312" w:hAnsi="方正小标宋_GBK" w:hint="eastAsia"/>
                <w:spacing w:val="-20"/>
                <w:sz w:val="28"/>
                <w:szCs w:val="28"/>
              </w:rPr>
              <w:t>40</w:t>
            </w:r>
            <w:r>
              <w:rPr>
                <w:rFonts w:ascii="楷体_GB2312" w:eastAsia="楷体_GB2312" w:hAnsi="方正小标宋_GBK" w:hint="eastAsia"/>
                <w:spacing w:val="-20"/>
                <w:sz w:val="28"/>
                <w:szCs w:val="28"/>
              </w:rPr>
              <w:t>－</w:t>
            </w:r>
            <w:r>
              <w:rPr>
                <w:rFonts w:ascii="楷体_GB2312" w:eastAsia="楷体_GB2312" w:hAnsi="方正小标宋_GBK" w:hint="eastAsia"/>
                <w:spacing w:val="-20"/>
                <w:sz w:val="28"/>
                <w:szCs w:val="28"/>
              </w:rPr>
              <w:t>49</w:t>
            </w:r>
            <w:r>
              <w:rPr>
                <w:rFonts w:ascii="楷体_GB2312" w:eastAsia="楷体_GB2312" w:hAnsi="方正小标宋_GBK" w:hint="eastAsia"/>
                <w:spacing w:val="-20"/>
                <w:sz w:val="28"/>
                <w:szCs w:val="28"/>
              </w:rPr>
              <w:t>岁（人）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pacing w:val="-20"/>
                <w:sz w:val="28"/>
                <w:szCs w:val="28"/>
              </w:rPr>
            </w:pPr>
            <w:r>
              <w:rPr>
                <w:rFonts w:ascii="楷体_GB2312" w:eastAsia="楷体_GB2312" w:hAnsi="方正小标宋_GBK" w:hint="eastAsia"/>
                <w:spacing w:val="-20"/>
                <w:sz w:val="28"/>
                <w:szCs w:val="28"/>
              </w:rPr>
              <w:t>50</w:t>
            </w:r>
            <w:r>
              <w:rPr>
                <w:rFonts w:ascii="楷体_GB2312" w:eastAsia="楷体_GB2312" w:hAnsi="方正小标宋_GBK" w:hint="eastAsia"/>
                <w:spacing w:val="-20"/>
                <w:sz w:val="28"/>
                <w:szCs w:val="28"/>
              </w:rPr>
              <w:t>－</w:t>
            </w:r>
            <w:r>
              <w:rPr>
                <w:rFonts w:ascii="楷体_GB2312" w:eastAsia="楷体_GB2312" w:hAnsi="方正小标宋_GBK" w:hint="eastAsia"/>
                <w:spacing w:val="-20"/>
                <w:sz w:val="28"/>
                <w:szCs w:val="28"/>
              </w:rPr>
              <w:t>59</w:t>
            </w:r>
            <w:r>
              <w:rPr>
                <w:rFonts w:ascii="楷体_GB2312" w:eastAsia="楷体_GB2312" w:hAnsi="方正小标宋_GBK" w:hint="eastAsia"/>
                <w:spacing w:val="-20"/>
                <w:sz w:val="28"/>
                <w:szCs w:val="28"/>
              </w:rPr>
              <w:t>岁（人）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学历</w:t>
            </w:r>
            <w:r>
              <w:rPr>
                <w:rFonts w:ascii="楷体_GB2312" w:eastAsia="楷体_GB2312" w:hAnsi="方正小标宋_GBK" w:hint="eastAsia"/>
                <w:sz w:val="28"/>
                <w:szCs w:val="28"/>
              </w:rPr>
              <w:lastRenderedPageBreak/>
              <w:t>结构</w:t>
            </w:r>
          </w:p>
        </w:tc>
        <w:tc>
          <w:tcPr>
            <w:tcW w:w="1875"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0"/>
                <w:sz w:val="28"/>
                <w:szCs w:val="28"/>
              </w:rPr>
              <w:lastRenderedPageBreak/>
              <w:t>本科以下（人）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585"/>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pacing w:val="-20"/>
                <w:sz w:val="28"/>
                <w:szCs w:val="28"/>
              </w:rPr>
            </w:pPr>
            <w:r>
              <w:rPr>
                <w:rFonts w:ascii="楷体_GB2312" w:eastAsia="楷体_GB2312" w:hAnsi="方正小标宋_GBK" w:hint="eastAsia"/>
                <w:spacing w:val="-20"/>
                <w:sz w:val="28"/>
                <w:szCs w:val="28"/>
              </w:rPr>
              <w:t>本科（人）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00"/>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pacing w:val="-20"/>
                <w:sz w:val="28"/>
                <w:szCs w:val="28"/>
              </w:rPr>
            </w:pPr>
            <w:r>
              <w:rPr>
                <w:rFonts w:ascii="楷体_GB2312" w:eastAsia="楷体_GB2312" w:hAnsi="方正小标宋_GBK" w:hint="eastAsia"/>
                <w:spacing w:val="-28"/>
                <w:sz w:val="28"/>
                <w:szCs w:val="28"/>
              </w:rPr>
              <w:t>硕士研究生（人）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trHeight w:val="630"/>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pacing w:val="-28"/>
                <w:sz w:val="28"/>
                <w:szCs w:val="28"/>
              </w:rPr>
              <w:t>博士研究生（人）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restart"/>
            <w:vAlign w:val="center"/>
          </w:tcPr>
          <w:p w:rsidR="009500F4" w:rsidRDefault="00975E3F">
            <w:pPr>
              <w:spacing w:line="500" w:lineRule="exact"/>
              <w:jc w:val="center"/>
              <w:rPr>
                <w:rFonts w:ascii="楷体_GB2312" w:eastAsia="楷体_GB2312" w:hAnsi="方正小标宋_GBK"/>
                <w:sz w:val="28"/>
                <w:szCs w:val="28"/>
              </w:rPr>
            </w:pPr>
            <w:r>
              <w:rPr>
                <w:rFonts w:ascii="楷体_GB2312" w:eastAsia="楷体_GB2312" w:hAnsi="方正小标宋_GBK" w:hint="eastAsia"/>
                <w:sz w:val="28"/>
                <w:szCs w:val="28"/>
              </w:rPr>
              <w:t>培训</w:t>
            </w:r>
          </w:p>
        </w:tc>
        <w:tc>
          <w:tcPr>
            <w:tcW w:w="1875"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培训次（次）</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培训人（人）</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tabs>
                <w:tab w:val="right" w:pos="1659"/>
              </w:tabs>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覆盖范围</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r w:rsidR="009500F4">
        <w:trPr>
          <w:jc w:val="center"/>
        </w:trPr>
        <w:tc>
          <w:tcPr>
            <w:tcW w:w="1020" w:type="dxa"/>
            <w:vMerge/>
            <w:vAlign w:val="center"/>
          </w:tcPr>
          <w:p w:rsidR="009500F4" w:rsidRDefault="009500F4">
            <w:pPr>
              <w:spacing w:line="500" w:lineRule="exact"/>
              <w:jc w:val="center"/>
              <w:rPr>
                <w:rFonts w:ascii="楷体_GB2312" w:eastAsia="楷体_GB2312" w:hAnsi="方正小标宋_GBK"/>
                <w:sz w:val="28"/>
                <w:szCs w:val="28"/>
              </w:rPr>
            </w:pPr>
          </w:p>
        </w:tc>
        <w:tc>
          <w:tcPr>
            <w:tcW w:w="1875" w:type="dxa"/>
            <w:vAlign w:val="center"/>
          </w:tcPr>
          <w:p w:rsidR="009500F4" w:rsidRDefault="00975E3F">
            <w:pPr>
              <w:spacing w:line="500" w:lineRule="exact"/>
              <w:jc w:val="left"/>
              <w:rPr>
                <w:rFonts w:ascii="楷体_GB2312" w:eastAsia="楷体_GB2312" w:hAnsi="方正小标宋_GBK"/>
                <w:sz w:val="28"/>
                <w:szCs w:val="28"/>
              </w:rPr>
            </w:pPr>
            <w:r>
              <w:rPr>
                <w:rFonts w:ascii="楷体_GB2312" w:eastAsia="楷体_GB2312" w:hAnsi="方正小标宋_GBK" w:hint="eastAsia"/>
                <w:sz w:val="28"/>
                <w:szCs w:val="28"/>
              </w:rPr>
              <w:t>机关事务工作人员法治培训率（</w:t>
            </w:r>
            <w:r>
              <w:rPr>
                <w:rFonts w:ascii="楷体_GB2312" w:eastAsia="楷体_GB2312" w:hAnsi="方正小标宋_GBK" w:hint="eastAsia"/>
                <w:sz w:val="28"/>
                <w:szCs w:val="28"/>
              </w:rPr>
              <w:t>%</w:t>
            </w:r>
            <w:r>
              <w:rPr>
                <w:rFonts w:ascii="楷体_GB2312" w:eastAsia="楷体_GB2312" w:hAnsi="方正小标宋_GBK" w:hint="eastAsia"/>
                <w:sz w:val="28"/>
                <w:szCs w:val="28"/>
              </w:rPr>
              <w:t>）</w:t>
            </w:r>
          </w:p>
        </w:tc>
        <w:tc>
          <w:tcPr>
            <w:tcW w:w="1095" w:type="dxa"/>
            <w:vAlign w:val="center"/>
          </w:tcPr>
          <w:p w:rsidR="009500F4" w:rsidRDefault="009500F4">
            <w:pPr>
              <w:spacing w:line="500" w:lineRule="exact"/>
              <w:jc w:val="center"/>
              <w:rPr>
                <w:rFonts w:ascii="楷体_GB2312" w:eastAsia="楷体_GB2312" w:hAnsi="方正小标宋_GBK"/>
                <w:sz w:val="28"/>
                <w:szCs w:val="28"/>
              </w:rPr>
            </w:pPr>
          </w:p>
        </w:tc>
        <w:tc>
          <w:tcPr>
            <w:tcW w:w="114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170" w:type="dxa"/>
            <w:vAlign w:val="center"/>
          </w:tcPr>
          <w:p w:rsidR="009500F4" w:rsidRDefault="009500F4">
            <w:pPr>
              <w:spacing w:line="500" w:lineRule="exact"/>
              <w:jc w:val="center"/>
              <w:rPr>
                <w:rFonts w:ascii="楷体_GB2312" w:eastAsia="楷体_GB2312" w:hAnsi="方正小标宋_GBK"/>
                <w:sz w:val="28"/>
                <w:szCs w:val="28"/>
              </w:rPr>
            </w:pPr>
          </w:p>
        </w:tc>
        <w:tc>
          <w:tcPr>
            <w:tcW w:w="1321" w:type="dxa"/>
            <w:vAlign w:val="center"/>
          </w:tcPr>
          <w:p w:rsidR="009500F4" w:rsidRDefault="009500F4">
            <w:pPr>
              <w:spacing w:line="500" w:lineRule="exact"/>
              <w:jc w:val="center"/>
              <w:rPr>
                <w:rFonts w:ascii="楷体_GB2312" w:eastAsia="楷体_GB2312" w:hAnsi="方正小标宋_GBK"/>
                <w:sz w:val="28"/>
                <w:szCs w:val="28"/>
              </w:rPr>
            </w:pPr>
          </w:p>
        </w:tc>
      </w:tr>
    </w:tbl>
    <w:p w:rsidR="009500F4" w:rsidRDefault="00975E3F">
      <w:pPr>
        <w:spacing w:line="5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九、数据填报说明</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1.1</w:t>
      </w:r>
      <w:r>
        <w:rPr>
          <w:rFonts w:ascii="楷体_GB2312" w:eastAsia="楷体_GB2312" w:hAnsi="方正小标宋_GBK" w:hint="eastAsia"/>
          <w:sz w:val="28"/>
          <w:szCs w:val="28"/>
        </w:rPr>
        <w:t>—</w:t>
      </w:r>
      <w:r>
        <w:rPr>
          <w:rFonts w:ascii="楷体_GB2312" w:eastAsia="楷体_GB2312" w:hAnsi="方正小标宋_GBK" w:hint="eastAsia"/>
          <w:sz w:val="28"/>
          <w:szCs w:val="28"/>
        </w:rPr>
        <w:t>16</w:t>
      </w:r>
      <w:r>
        <w:rPr>
          <w:rFonts w:ascii="楷体_GB2312" w:eastAsia="楷体_GB2312" w:hAnsi="方正小标宋_GBK" w:hint="eastAsia"/>
          <w:sz w:val="28"/>
          <w:szCs w:val="28"/>
        </w:rPr>
        <w:t>统计表由各县区办公室按要求统一汇总填报；</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2.</w:t>
      </w:r>
      <w:r>
        <w:rPr>
          <w:rFonts w:ascii="楷体_GB2312" w:eastAsia="楷体_GB2312" w:hAnsi="方正小标宋_GBK" w:hint="eastAsia"/>
          <w:sz w:val="28"/>
          <w:szCs w:val="28"/>
        </w:rPr>
        <w:t>年度数据填报</w:t>
      </w:r>
      <w:r>
        <w:rPr>
          <w:rFonts w:ascii="楷体_GB2312" w:eastAsia="楷体_GB2312" w:hAnsi="方正小标宋_GBK" w:hint="eastAsia"/>
          <w:sz w:val="28"/>
          <w:szCs w:val="28"/>
        </w:rPr>
        <w:t>2015</w:t>
      </w:r>
      <w:r>
        <w:rPr>
          <w:rFonts w:ascii="楷体_GB2312" w:eastAsia="楷体_GB2312" w:hAnsi="方正小标宋_GBK" w:hint="eastAsia"/>
          <w:sz w:val="28"/>
          <w:szCs w:val="28"/>
        </w:rPr>
        <w:t>至</w:t>
      </w:r>
      <w:r>
        <w:rPr>
          <w:rFonts w:ascii="楷体_GB2312" w:eastAsia="楷体_GB2312" w:hAnsi="方正小标宋_GBK" w:hint="eastAsia"/>
          <w:sz w:val="28"/>
          <w:szCs w:val="28"/>
        </w:rPr>
        <w:t>2019</w:t>
      </w:r>
      <w:r>
        <w:rPr>
          <w:rFonts w:ascii="楷体_GB2312" w:eastAsia="楷体_GB2312" w:hAnsi="方正小标宋_GBK" w:hint="eastAsia"/>
          <w:sz w:val="28"/>
          <w:szCs w:val="28"/>
        </w:rPr>
        <w:t>年数据；</w:t>
      </w:r>
    </w:p>
    <w:p w:rsidR="009500F4" w:rsidRDefault="00975E3F">
      <w:pPr>
        <w:spacing w:line="500" w:lineRule="exact"/>
        <w:ind w:firstLineChars="200" w:firstLine="560"/>
        <w:rPr>
          <w:rFonts w:ascii="楷体_GB2312" w:eastAsia="楷体_GB2312" w:hAnsi="方正小标宋_GBK"/>
          <w:sz w:val="28"/>
          <w:szCs w:val="28"/>
        </w:rPr>
      </w:pPr>
      <w:r>
        <w:rPr>
          <w:rFonts w:ascii="楷体_GB2312" w:eastAsia="楷体_GB2312" w:hAnsi="方正小标宋_GBK" w:hint="eastAsia"/>
          <w:sz w:val="28"/>
          <w:szCs w:val="28"/>
        </w:rPr>
        <w:t>3.</w:t>
      </w:r>
      <w:r>
        <w:rPr>
          <w:rFonts w:ascii="楷体_GB2312" w:eastAsia="楷体_GB2312" w:hAnsi="方正小标宋_GBK" w:hint="eastAsia"/>
          <w:sz w:val="28"/>
          <w:szCs w:val="28"/>
        </w:rPr>
        <w:t>非年度数据统计截至</w:t>
      </w:r>
      <w:r>
        <w:rPr>
          <w:rFonts w:ascii="楷体_GB2312" w:eastAsia="楷体_GB2312" w:hAnsi="方正小标宋_GBK" w:hint="eastAsia"/>
          <w:sz w:val="28"/>
          <w:szCs w:val="28"/>
        </w:rPr>
        <w:t>2020</w:t>
      </w:r>
      <w:r>
        <w:rPr>
          <w:rFonts w:ascii="楷体_GB2312" w:eastAsia="楷体_GB2312" w:hAnsi="方正小标宋_GBK" w:hint="eastAsia"/>
          <w:sz w:val="28"/>
          <w:szCs w:val="28"/>
        </w:rPr>
        <w:t>年</w:t>
      </w:r>
      <w:r>
        <w:rPr>
          <w:rFonts w:ascii="楷体_GB2312" w:eastAsia="楷体_GB2312" w:hAnsi="方正小标宋_GBK" w:hint="eastAsia"/>
          <w:sz w:val="28"/>
          <w:szCs w:val="28"/>
        </w:rPr>
        <w:t>6</w:t>
      </w:r>
      <w:r>
        <w:rPr>
          <w:rFonts w:ascii="楷体_GB2312" w:eastAsia="楷体_GB2312" w:hAnsi="方正小标宋_GBK" w:hint="eastAsia"/>
          <w:sz w:val="28"/>
          <w:szCs w:val="28"/>
        </w:rPr>
        <w:t>月</w:t>
      </w:r>
      <w:r>
        <w:rPr>
          <w:rFonts w:ascii="楷体_GB2312" w:eastAsia="楷体_GB2312" w:hAnsi="方正小标宋_GBK" w:hint="eastAsia"/>
          <w:sz w:val="28"/>
          <w:szCs w:val="28"/>
        </w:rPr>
        <w:t>30</w:t>
      </w:r>
      <w:r>
        <w:rPr>
          <w:rFonts w:ascii="楷体_GB2312" w:eastAsia="楷体_GB2312" w:hAnsi="方正小标宋_GBK" w:hint="eastAsia"/>
          <w:sz w:val="28"/>
          <w:szCs w:val="28"/>
        </w:rPr>
        <w:t>日；</w:t>
      </w:r>
    </w:p>
    <w:p w:rsidR="009500F4" w:rsidRDefault="00975E3F">
      <w:pPr>
        <w:spacing w:line="500" w:lineRule="exact"/>
        <w:ind w:firstLineChars="200" w:firstLine="560"/>
        <w:jc w:val="left"/>
        <w:outlineLvl w:val="0"/>
        <w:rPr>
          <w:rFonts w:ascii="方正黑体简体" w:eastAsia="方正黑体简体" w:hAnsi="方正黑体简体" w:cs="方正黑体简体"/>
          <w:bCs/>
          <w:sz w:val="32"/>
          <w:szCs w:val="32"/>
        </w:rPr>
      </w:pPr>
      <w:r>
        <w:rPr>
          <w:rFonts w:ascii="楷体_GB2312" w:eastAsia="楷体_GB2312" w:hAnsi="方正小标宋_GBK" w:hint="eastAsia"/>
          <w:sz w:val="28"/>
          <w:szCs w:val="28"/>
        </w:rPr>
        <w:t>4.2020</w:t>
      </w:r>
      <w:r>
        <w:rPr>
          <w:rFonts w:ascii="楷体_GB2312" w:eastAsia="楷体_GB2312" w:hAnsi="方正小标宋_GBK" w:hint="eastAsia"/>
          <w:sz w:val="28"/>
          <w:szCs w:val="28"/>
        </w:rPr>
        <w:t>年度数据</w:t>
      </w:r>
      <w:r>
        <w:rPr>
          <w:rFonts w:ascii="楷体_GB2312" w:eastAsia="楷体_GB2312" w:hAnsi="方正小标宋_GBK" w:hint="eastAsia"/>
          <w:sz w:val="28"/>
          <w:szCs w:val="28"/>
        </w:rPr>
        <w:t>2021</w:t>
      </w:r>
      <w:r>
        <w:rPr>
          <w:rFonts w:ascii="楷体_GB2312" w:eastAsia="楷体_GB2312" w:hAnsi="方正小标宋_GBK" w:hint="eastAsia"/>
          <w:sz w:val="28"/>
          <w:szCs w:val="28"/>
        </w:rPr>
        <w:t>年</w:t>
      </w:r>
      <w:r>
        <w:rPr>
          <w:rFonts w:ascii="楷体_GB2312" w:eastAsia="楷体_GB2312" w:hAnsi="方正小标宋_GBK" w:hint="eastAsia"/>
          <w:sz w:val="28"/>
          <w:szCs w:val="28"/>
        </w:rPr>
        <w:t>1</w:t>
      </w:r>
      <w:r>
        <w:rPr>
          <w:rFonts w:ascii="楷体_GB2312" w:eastAsia="楷体_GB2312" w:hAnsi="方正小标宋_GBK" w:hint="eastAsia"/>
          <w:sz w:val="28"/>
          <w:szCs w:val="28"/>
        </w:rPr>
        <w:t>月</w:t>
      </w:r>
      <w:r>
        <w:rPr>
          <w:rFonts w:ascii="楷体_GB2312" w:eastAsia="楷体_GB2312" w:hAnsi="方正小标宋_GBK" w:hint="eastAsia"/>
          <w:sz w:val="28"/>
          <w:szCs w:val="28"/>
        </w:rPr>
        <w:t>10</w:t>
      </w:r>
      <w:r>
        <w:rPr>
          <w:rFonts w:ascii="楷体_GB2312" w:eastAsia="楷体_GB2312" w:hAnsi="方正小标宋_GBK" w:hint="eastAsia"/>
          <w:sz w:val="28"/>
          <w:szCs w:val="28"/>
        </w:rPr>
        <w:t>日前报。</w:t>
      </w:r>
    </w:p>
    <w:sectPr w:rsidR="009500F4">
      <w:footerReference w:type="even" r:id="rId9"/>
      <w:footerReference w:type="default" r:id="rId10"/>
      <w:pgSz w:w="11906" w:h="16838"/>
      <w:pgMar w:top="1757" w:right="1474" w:bottom="1134" w:left="1587" w:header="964" w:footer="1134" w:gutter="0"/>
      <w:pgNumType w:fmt="numberInDash" w:start="1"/>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3F" w:rsidRDefault="00975E3F">
      <w:r>
        <w:separator/>
      </w:r>
    </w:p>
  </w:endnote>
  <w:endnote w:type="continuationSeparator" w:id="0">
    <w:p w:rsidR="00975E3F" w:rsidRDefault="0097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简体">
    <w:altName w:val="Arial Unicode MS"/>
    <w:charset w:val="86"/>
    <w:family w:val="auto"/>
    <w:pitch w:val="default"/>
    <w:sig w:usb0="00000000" w:usb1="00000000" w:usb2="0000000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_GBK">
    <w:altName w:val="宋体"/>
    <w:charset w:val="86"/>
    <w:family w:val="auto"/>
    <w:pitch w:val="default"/>
    <w:sig w:usb0="00000000" w:usb1="00000000" w:usb2="00082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6098"/>
      <w:docPartObj>
        <w:docPartGallery w:val="AutoText"/>
      </w:docPartObj>
    </w:sdtPr>
    <w:sdtEndPr>
      <w:rPr>
        <w:rFonts w:ascii="仿宋_GB2312" w:eastAsia="仿宋_GB2312" w:hint="eastAsia"/>
        <w:sz w:val="28"/>
        <w:szCs w:val="28"/>
        <w:lang w:val="zh-CN"/>
      </w:rPr>
    </w:sdtEndPr>
    <w:sdtContent>
      <w:p w:rsidR="009500F4" w:rsidRDefault="00975E3F">
        <w:pPr>
          <w:pStyle w:val="a3"/>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B61DA6" w:rsidRPr="00B61DA6">
          <w:rPr>
            <w:rFonts w:ascii="仿宋_GB2312" w:eastAsia="仿宋_GB2312"/>
            <w:noProof/>
            <w:sz w:val="28"/>
            <w:szCs w:val="28"/>
            <w:lang w:val="zh-CN"/>
          </w:rPr>
          <w:t>-</w:t>
        </w:r>
        <w:r w:rsidR="00B61DA6">
          <w:rPr>
            <w:rFonts w:ascii="仿宋_GB2312" w:eastAsia="仿宋_GB2312"/>
            <w:noProof/>
            <w:sz w:val="28"/>
            <w:szCs w:val="28"/>
          </w:rPr>
          <w:t xml:space="preserve"> 2 -</w:t>
        </w:r>
        <w:r>
          <w:rPr>
            <w:rFonts w:ascii="仿宋_GB2312" w:eastAsia="仿宋_GB2312" w:hint="eastAsia"/>
            <w:sz w:val="28"/>
            <w:szCs w:val="28"/>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_GB2312" w:eastAsia="仿宋_GB2312" w:hint="eastAsia"/>
        <w:sz w:val="28"/>
        <w:szCs w:val="28"/>
      </w:rPr>
      <w:id w:val="-1987006601"/>
      <w:docPartObj>
        <w:docPartGallery w:val="AutoText"/>
      </w:docPartObj>
    </w:sdtPr>
    <w:sdtEndPr/>
    <w:sdtContent>
      <w:p w:rsidR="009500F4" w:rsidRDefault="00975E3F">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B61DA6" w:rsidRPr="00B61DA6">
          <w:rPr>
            <w:rFonts w:ascii="仿宋_GB2312" w:eastAsia="仿宋_GB2312"/>
            <w:noProof/>
            <w:sz w:val="28"/>
            <w:szCs w:val="28"/>
            <w:lang w:val="zh-CN"/>
          </w:rPr>
          <w:t>-</w:t>
        </w:r>
        <w:r w:rsidR="00B61DA6">
          <w:rPr>
            <w:rFonts w:ascii="仿宋_GB2312" w:eastAsia="仿宋_GB2312"/>
            <w:noProof/>
            <w:sz w:val="28"/>
            <w:szCs w:val="28"/>
          </w:rPr>
          <w:t xml:space="preserve"> 9 -</w:t>
        </w:r>
        <w:r>
          <w:rPr>
            <w:rFonts w:ascii="仿宋_GB2312" w:eastAsia="仿宋_GB2312" w:hint="eastAsia"/>
            <w:sz w:val="28"/>
            <w:szCs w:val="28"/>
          </w:rPr>
          <w:fldChar w:fldCharType="end"/>
        </w:r>
      </w:p>
    </w:sdtContent>
  </w:sdt>
  <w:p w:rsidR="009500F4" w:rsidRDefault="00975E3F">
    <w:pPr>
      <w:pStyle w:val="a3"/>
      <w:tabs>
        <w:tab w:val="clear" w:pos="4153"/>
        <w:tab w:val="clear" w:pos="8306"/>
        <w:tab w:val="left" w:pos="2820"/>
        <w:tab w:val="left" w:pos="6600"/>
      </w:tabs>
      <w:rPr>
        <w:rFonts w:ascii="仿宋_GB2312" w:eastAsia="仿宋_GB2312"/>
        <w:sz w:val="28"/>
        <w:szCs w:val="28"/>
      </w:rPr>
    </w:pPr>
    <w:r>
      <w:rPr>
        <w:rFonts w:ascii="仿宋_GB2312" w:eastAsia="仿宋_GB2312"/>
        <w:sz w:val="28"/>
        <w:szCs w:val="28"/>
      </w:rPr>
      <w:tab/>
    </w:r>
    <w:r>
      <w:rPr>
        <w:rFonts w:ascii="仿宋_GB2312" w:eastAsia="仿宋_GB2312"/>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3F" w:rsidRDefault="00975E3F">
      <w:r>
        <w:separator/>
      </w:r>
    </w:p>
  </w:footnote>
  <w:footnote w:type="continuationSeparator" w:id="0">
    <w:p w:rsidR="00975E3F" w:rsidRDefault="0097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84"/>
    <w:rsid w:val="0008331F"/>
    <w:rsid w:val="00102AB8"/>
    <w:rsid w:val="002071CD"/>
    <w:rsid w:val="003556D1"/>
    <w:rsid w:val="006F1625"/>
    <w:rsid w:val="00777CCA"/>
    <w:rsid w:val="00935FC8"/>
    <w:rsid w:val="009500F4"/>
    <w:rsid w:val="00975E3F"/>
    <w:rsid w:val="00A46484"/>
    <w:rsid w:val="00B61DA6"/>
    <w:rsid w:val="00CD271A"/>
    <w:rsid w:val="01B21A28"/>
    <w:rsid w:val="01CC4F5D"/>
    <w:rsid w:val="021B24F8"/>
    <w:rsid w:val="027102AF"/>
    <w:rsid w:val="04170041"/>
    <w:rsid w:val="047B5192"/>
    <w:rsid w:val="056845E8"/>
    <w:rsid w:val="07F51359"/>
    <w:rsid w:val="098E4B9E"/>
    <w:rsid w:val="0A2B07A6"/>
    <w:rsid w:val="0CBC4314"/>
    <w:rsid w:val="0E33698B"/>
    <w:rsid w:val="0E794AE5"/>
    <w:rsid w:val="0F381A95"/>
    <w:rsid w:val="1161366A"/>
    <w:rsid w:val="123F7CA8"/>
    <w:rsid w:val="12CA442C"/>
    <w:rsid w:val="12F02C09"/>
    <w:rsid w:val="15140B89"/>
    <w:rsid w:val="1519734A"/>
    <w:rsid w:val="15261D76"/>
    <w:rsid w:val="158F17F1"/>
    <w:rsid w:val="19346060"/>
    <w:rsid w:val="1A5D37C6"/>
    <w:rsid w:val="1B1766E7"/>
    <w:rsid w:val="1B4A4D11"/>
    <w:rsid w:val="1DC958C2"/>
    <w:rsid w:val="1F53344D"/>
    <w:rsid w:val="2066611F"/>
    <w:rsid w:val="2108699E"/>
    <w:rsid w:val="23E803EC"/>
    <w:rsid w:val="2672654C"/>
    <w:rsid w:val="26CF2CF5"/>
    <w:rsid w:val="26EA1E31"/>
    <w:rsid w:val="275A1A92"/>
    <w:rsid w:val="27667B36"/>
    <w:rsid w:val="287866F3"/>
    <w:rsid w:val="290066DB"/>
    <w:rsid w:val="291E39A2"/>
    <w:rsid w:val="29370E51"/>
    <w:rsid w:val="29517BD2"/>
    <w:rsid w:val="2A686E44"/>
    <w:rsid w:val="2D226773"/>
    <w:rsid w:val="2E2D0EF8"/>
    <w:rsid w:val="2ED47714"/>
    <w:rsid w:val="322C248E"/>
    <w:rsid w:val="324B1F79"/>
    <w:rsid w:val="336474E2"/>
    <w:rsid w:val="35D141FE"/>
    <w:rsid w:val="372B6D87"/>
    <w:rsid w:val="399F1C11"/>
    <w:rsid w:val="3B0B615D"/>
    <w:rsid w:val="3C651B1E"/>
    <w:rsid w:val="3D0A2EC3"/>
    <w:rsid w:val="3DFFAA40"/>
    <w:rsid w:val="3EF13162"/>
    <w:rsid w:val="44DC78C7"/>
    <w:rsid w:val="44E2367A"/>
    <w:rsid w:val="45870222"/>
    <w:rsid w:val="45BF0DA2"/>
    <w:rsid w:val="48BE3439"/>
    <w:rsid w:val="48FF53BF"/>
    <w:rsid w:val="49BD2E6D"/>
    <w:rsid w:val="4C132D70"/>
    <w:rsid w:val="4C3D5BB7"/>
    <w:rsid w:val="4D0E69D5"/>
    <w:rsid w:val="4E1B25A6"/>
    <w:rsid w:val="4F0F4AF7"/>
    <w:rsid w:val="4F4D0B2F"/>
    <w:rsid w:val="4FAF3653"/>
    <w:rsid w:val="4FE04A4F"/>
    <w:rsid w:val="518F09FE"/>
    <w:rsid w:val="51F73B92"/>
    <w:rsid w:val="52B95376"/>
    <w:rsid w:val="53943410"/>
    <w:rsid w:val="53B1280E"/>
    <w:rsid w:val="54B4015C"/>
    <w:rsid w:val="5698521A"/>
    <w:rsid w:val="57065213"/>
    <w:rsid w:val="57BEAD58"/>
    <w:rsid w:val="58D3482B"/>
    <w:rsid w:val="592A5507"/>
    <w:rsid w:val="59A643BD"/>
    <w:rsid w:val="59D72940"/>
    <w:rsid w:val="5A476569"/>
    <w:rsid w:val="5AAF347F"/>
    <w:rsid w:val="5D3E5E96"/>
    <w:rsid w:val="5E22680E"/>
    <w:rsid w:val="5EAB69AB"/>
    <w:rsid w:val="5F8A19BB"/>
    <w:rsid w:val="5FCE268D"/>
    <w:rsid w:val="60E94A5F"/>
    <w:rsid w:val="62C04D25"/>
    <w:rsid w:val="63D14E75"/>
    <w:rsid w:val="63F70F1F"/>
    <w:rsid w:val="63FC5E8F"/>
    <w:rsid w:val="64F27A95"/>
    <w:rsid w:val="665B0847"/>
    <w:rsid w:val="6A1B518B"/>
    <w:rsid w:val="6A5D3253"/>
    <w:rsid w:val="6CBD2321"/>
    <w:rsid w:val="6F7375DA"/>
    <w:rsid w:val="72F216A9"/>
    <w:rsid w:val="73893860"/>
    <w:rsid w:val="73D71F59"/>
    <w:rsid w:val="771B691A"/>
    <w:rsid w:val="77F86517"/>
    <w:rsid w:val="79DE7179"/>
    <w:rsid w:val="79FF5C37"/>
    <w:rsid w:val="7C45366F"/>
    <w:rsid w:val="7C805E7B"/>
    <w:rsid w:val="7DC97359"/>
    <w:rsid w:val="7E0B03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header" w:qFormat="1"/>
    <w:lsdException w:name="footer" w:uiPriority="99" w:qFormat="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pPr>
      <w:snapToGrid w:val="0"/>
      <w:jc w:val="left"/>
    </w:pPr>
    <w:rPr>
      <w:sz w:val="18"/>
      <w:szCs w:val="18"/>
    </w:rPr>
  </w:style>
  <w:style w:type="character" w:styleId="a6">
    <w:name w:val="page number"/>
    <w:basedOn w:val="a0"/>
  </w:style>
  <w:style w:type="character" w:styleId="a7">
    <w:name w:val="footnote reference"/>
    <w:basedOn w:val="a0"/>
    <w:semiHidden/>
    <w:rPr>
      <w:vertAlign w:val="superscript"/>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header" w:qFormat="1"/>
    <w:lsdException w:name="footer" w:uiPriority="99" w:qFormat="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pPr>
      <w:snapToGrid w:val="0"/>
      <w:jc w:val="left"/>
    </w:pPr>
    <w:rPr>
      <w:sz w:val="18"/>
      <w:szCs w:val="18"/>
    </w:rPr>
  </w:style>
  <w:style w:type="character" w:styleId="a6">
    <w:name w:val="page number"/>
    <w:basedOn w:val="a0"/>
  </w:style>
  <w:style w:type="character" w:styleId="a7">
    <w:name w:val="footnote reference"/>
    <w:basedOn w:val="a0"/>
    <w:semiHidden/>
    <w:rPr>
      <w:vertAlign w:val="superscript"/>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11122-C30C-4978-9734-4AFFC99B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574</Words>
  <Characters>3275</Characters>
  <Application>Microsoft Office Word</Application>
  <DocSecurity>0</DocSecurity>
  <Lines>27</Lines>
  <Paragraphs>7</Paragraphs>
  <ScaleCrop>false</ScaleCrop>
  <Company>微软中国</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2</cp:revision>
  <cp:lastPrinted>2020-06-19T19:08:00Z</cp:lastPrinted>
  <dcterms:created xsi:type="dcterms:W3CDTF">2020-11-05T08:11:00Z</dcterms:created>
  <dcterms:modified xsi:type="dcterms:W3CDTF">2020-11-05T08:11:00Z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